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D85" w:rsidRPr="003D2AA0" w:rsidRDefault="003D2AA0">
      <w:pPr>
        <w:rPr>
          <w:b/>
          <w:sz w:val="24"/>
          <w:szCs w:val="24"/>
        </w:rPr>
      </w:pPr>
      <w:r w:rsidRPr="003D2AA0">
        <w:rPr>
          <w:b/>
          <w:sz w:val="24"/>
          <w:szCs w:val="24"/>
        </w:rPr>
        <w:t>Editorial</w:t>
      </w:r>
    </w:p>
    <w:p w:rsidR="003D2AA0" w:rsidRPr="003D2AA0" w:rsidRDefault="003D2AA0">
      <w:pPr>
        <w:rPr>
          <w:sz w:val="24"/>
          <w:szCs w:val="24"/>
        </w:rPr>
      </w:pPr>
      <w:r w:rsidRPr="003D2AA0">
        <w:rPr>
          <w:sz w:val="24"/>
          <w:szCs w:val="24"/>
        </w:rPr>
        <w:t>Pieter H du Toit</w:t>
      </w:r>
    </w:p>
    <w:p w:rsidR="003D2AA0" w:rsidRDefault="003D2AA0">
      <w:pPr>
        <w:rPr>
          <w:sz w:val="24"/>
          <w:szCs w:val="24"/>
        </w:rPr>
      </w:pPr>
      <w:r w:rsidRPr="003D2AA0">
        <w:rPr>
          <w:sz w:val="24"/>
          <w:szCs w:val="24"/>
        </w:rPr>
        <w:t>Guest Editor</w:t>
      </w:r>
    </w:p>
    <w:p w:rsidR="003D2AA0" w:rsidRDefault="003D2AA0">
      <w:pPr>
        <w:rPr>
          <w:sz w:val="24"/>
          <w:szCs w:val="24"/>
        </w:rPr>
      </w:pPr>
      <w:r>
        <w:rPr>
          <w:sz w:val="24"/>
          <w:szCs w:val="24"/>
        </w:rPr>
        <w:t xml:space="preserve">A special edition of </w:t>
      </w:r>
      <w:r w:rsidRPr="003D2AA0">
        <w:rPr>
          <w:i/>
          <w:sz w:val="24"/>
          <w:szCs w:val="24"/>
        </w:rPr>
        <w:t>SAJHE</w:t>
      </w:r>
      <w:r>
        <w:rPr>
          <w:sz w:val="24"/>
          <w:szCs w:val="24"/>
        </w:rPr>
        <w:t xml:space="preserve"> such as this</w:t>
      </w:r>
      <w:r w:rsidR="00A00DD4">
        <w:rPr>
          <w:sz w:val="24"/>
          <w:szCs w:val="24"/>
        </w:rPr>
        <w:t xml:space="preserve"> with a dedicated</w:t>
      </w:r>
      <w:r w:rsidR="00974492">
        <w:rPr>
          <w:sz w:val="24"/>
          <w:szCs w:val="24"/>
        </w:rPr>
        <w:t xml:space="preserve"> Section B</w:t>
      </w:r>
      <w:r>
        <w:rPr>
          <w:sz w:val="24"/>
          <w:szCs w:val="24"/>
        </w:rPr>
        <w:t xml:space="preserve"> is not ‘liquorices all sorts’ in nature. This </w:t>
      </w:r>
      <w:r w:rsidR="00974492">
        <w:rPr>
          <w:sz w:val="24"/>
          <w:szCs w:val="24"/>
        </w:rPr>
        <w:t>Section</w:t>
      </w:r>
      <w:r>
        <w:rPr>
          <w:sz w:val="24"/>
          <w:szCs w:val="24"/>
        </w:rPr>
        <w:t xml:space="preserve"> is an exemplar of the work of a scholarly community </w:t>
      </w:r>
      <w:r w:rsidR="00F27013">
        <w:rPr>
          <w:sz w:val="24"/>
          <w:szCs w:val="24"/>
        </w:rPr>
        <w:t xml:space="preserve">of practice </w:t>
      </w:r>
      <w:r>
        <w:rPr>
          <w:sz w:val="24"/>
          <w:szCs w:val="24"/>
        </w:rPr>
        <w:t xml:space="preserve">enriching one another and showing interconnectedness. </w:t>
      </w:r>
      <w:r w:rsidR="00F27013">
        <w:rPr>
          <w:sz w:val="24"/>
          <w:szCs w:val="24"/>
        </w:rPr>
        <w:t xml:space="preserve">It has as focus </w:t>
      </w:r>
      <w:r w:rsidR="00A8128F">
        <w:rPr>
          <w:sz w:val="24"/>
          <w:szCs w:val="24"/>
        </w:rPr>
        <w:t>action research</w:t>
      </w:r>
      <w:r w:rsidR="00591F36">
        <w:rPr>
          <w:sz w:val="24"/>
          <w:szCs w:val="24"/>
        </w:rPr>
        <w:t>/participatory action research</w:t>
      </w:r>
      <w:r w:rsidR="00A8128F">
        <w:rPr>
          <w:sz w:val="24"/>
          <w:szCs w:val="24"/>
        </w:rPr>
        <w:t xml:space="preserve">, which includes </w:t>
      </w:r>
      <w:r w:rsidR="00F27013">
        <w:rPr>
          <w:sz w:val="24"/>
          <w:szCs w:val="24"/>
        </w:rPr>
        <w:t>re</w:t>
      </w:r>
      <w:r w:rsidR="00A8128F">
        <w:rPr>
          <w:sz w:val="24"/>
          <w:szCs w:val="24"/>
        </w:rPr>
        <w:t>flexive practice, self-enquiry</w:t>
      </w:r>
      <w:r w:rsidR="00A00DD4">
        <w:rPr>
          <w:sz w:val="24"/>
          <w:szCs w:val="24"/>
        </w:rPr>
        <w:t xml:space="preserve"> and</w:t>
      </w:r>
      <w:r w:rsidR="00A8128F">
        <w:rPr>
          <w:sz w:val="24"/>
          <w:szCs w:val="24"/>
        </w:rPr>
        <w:t xml:space="preserve"> auto-ethnography</w:t>
      </w:r>
      <w:r w:rsidR="00A00DD4">
        <w:rPr>
          <w:sz w:val="24"/>
          <w:szCs w:val="24"/>
        </w:rPr>
        <w:t>.</w:t>
      </w:r>
      <w:r w:rsidR="00F27013">
        <w:rPr>
          <w:sz w:val="24"/>
          <w:szCs w:val="24"/>
        </w:rPr>
        <w:t xml:space="preserve"> </w:t>
      </w:r>
      <w:r>
        <w:rPr>
          <w:sz w:val="24"/>
          <w:szCs w:val="24"/>
        </w:rPr>
        <w:t xml:space="preserve"> </w:t>
      </w:r>
    </w:p>
    <w:p w:rsidR="007F08D0" w:rsidRDefault="00A8128F">
      <w:pPr>
        <w:rPr>
          <w:sz w:val="24"/>
          <w:szCs w:val="24"/>
        </w:rPr>
      </w:pPr>
      <w:r>
        <w:rPr>
          <w:sz w:val="24"/>
          <w:szCs w:val="24"/>
        </w:rPr>
        <w:t>Different fields of specialisation add to the claim I make that higher education practitioners</w:t>
      </w:r>
      <w:r w:rsidR="00F8372B">
        <w:rPr>
          <w:sz w:val="24"/>
          <w:szCs w:val="24"/>
        </w:rPr>
        <w:t xml:space="preserve"> </w:t>
      </w:r>
      <w:r>
        <w:rPr>
          <w:sz w:val="24"/>
          <w:szCs w:val="24"/>
        </w:rPr>
        <w:t>are</w:t>
      </w:r>
      <w:r w:rsidR="007F08D0">
        <w:rPr>
          <w:sz w:val="24"/>
          <w:szCs w:val="24"/>
        </w:rPr>
        <w:t xml:space="preserve"> to a larger extent </w:t>
      </w:r>
      <w:r w:rsidR="00A00DD4">
        <w:rPr>
          <w:sz w:val="24"/>
          <w:szCs w:val="24"/>
        </w:rPr>
        <w:t>opposes to</w:t>
      </w:r>
      <w:r w:rsidR="007F08D0">
        <w:rPr>
          <w:sz w:val="24"/>
          <w:szCs w:val="24"/>
        </w:rPr>
        <w:t xml:space="preserve"> the past</w:t>
      </w:r>
      <w:r>
        <w:rPr>
          <w:sz w:val="24"/>
          <w:szCs w:val="24"/>
        </w:rPr>
        <w:t xml:space="preserve"> taking responsibility for monitoring their educational professional development</w:t>
      </w:r>
      <w:r w:rsidR="00F8372B">
        <w:rPr>
          <w:sz w:val="24"/>
          <w:szCs w:val="24"/>
        </w:rPr>
        <w:t xml:space="preserve"> in a scholarly fashion</w:t>
      </w:r>
      <w:r>
        <w:rPr>
          <w:sz w:val="24"/>
          <w:szCs w:val="24"/>
        </w:rPr>
        <w:t xml:space="preserve">. </w:t>
      </w:r>
      <w:r w:rsidR="00534989">
        <w:rPr>
          <w:sz w:val="24"/>
          <w:szCs w:val="24"/>
        </w:rPr>
        <w:t xml:space="preserve">And there is evidence of interdisciplinary </w:t>
      </w:r>
      <w:r w:rsidR="00BE51D3">
        <w:rPr>
          <w:sz w:val="24"/>
          <w:szCs w:val="24"/>
        </w:rPr>
        <w:t xml:space="preserve">research </w:t>
      </w:r>
      <w:r w:rsidR="00534989">
        <w:rPr>
          <w:sz w:val="24"/>
          <w:szCs w:val="24"/>
        </w:rPr>
        <w:t>and interinstitutional collaboration across higher education institutions</w:t>
      </w:r>
      <w:r w:rsidR="00BE51D3">
        <w:rPr>
          <w:sz w:val="24"/>
          <w:szCs w:val="24"/>
        </w:rPr>
        <w:t>.</w:t>
      </w:r>
      <w:r w:rsidR="00534989">
        <w:rPr>
          <w:sz w:val="24"/>
          <w:szCs w:val="24"/>
        </w:rPr>
        <w:t xml:space="preserve"> </w:t>
      </w:r>
      <w:r>
        <w:rPr>
          <w:sz w:val="24"/>
          <w:szCs w:val="24"/>
        </w:rPr>
        <w:t>My advocacy</w:t>
      </w:r>
      <w:r w:rsidR="00F8372B">
        <w:rPr>
          <w:sz w:val="24"/>
          <w:szCs w:val="24"/>
        </w:rPr>
        <w:t xml:space="preserve"> for using action research and related research designs and approaches</w:t>
      </w:r>
      <w:r w:rsidR="007F08D0">
        <w:rPr>
          <w:sz w:val="24"/>
          <w:szCs w:val="24"/>
        </w:rPr>
        <w:t xml:space="preserve"> to research of practice</w:t>
      </w:r>
      <w:r w:rsidR="00F8372B">
        <w:rPr>
          <w:sz w:val="24"/>
          <w:szCs w:val="24"/>
        </w:rPr>
        <w:t xml:space="preserve"> over many years culminates in the evidence-based reporting in the respective articles. Of note is the fact</w:t>
      </w:r>
      <w:r w:rsidR="00E7117D">
        <w:rPr>
          <w:sz w:val="24"/>
          <w:szCs w:val="24"/>
        </w:rPr>
        <w:t xml:space="preserve"> </w:t>
      </w:r>
      <w:r w:rsidR="00BE51D3">
        <w:rPr>
          <w:sz w:val="24"/>
          <w:szCs w:val="24"/>
        </w:rPr>
        <w:t xml:space="preserve">that the practices reported on are innovative. </w:t>
      </w:r>
      <w:r w:rsidR="00507F7F">
        <w:rPr>
          <w:sz w:val="24"/>
          <w:szCs w:val="24"/>
        </w:rPr>
        <w:t xml:space="preserve">Innovations are to be observed in terms of what </w:t>
      </w:r>
      <w:r w:rsidR="00A41676">
        <w:rPr>
          <w:sz w:val="24"/>
          <w:szCs w:val="24"/>
        </w:rPr>
        <w:t xml:space="preserve">higher education practitioners do in their respective practices that is innovative in terms of learning and teaching. </w:t>
      </w:r>
      <w:r w:rsidR="009A50F6">
        <w:rPr>
          <w:sz w:val="24"/>
          <w:szCs w:val="24"/>
        </w:rPr>
        <w:t xml:space="preserve">New ideas of how a student-centred approach can be promoted is evident in the article by Belinda </w:t>
      </w:r>
      <w:proofErr w:type="spellStart"/>
      <w:r w:rsidR="009A50F6">
        <w:rPr>
          <w:sz w:val="24"/>
          <w:szCs w:val="24"/>
        </w:rPr>
        <w:t>Verster</w:t>
      </w:r>
      <w:proofErr w:type="spellEnd"/>
      <w:r w:rsidR="009A50F6">
        <w:rPr>
          <w:sz w:val="24"/>
          <w:szCs w:val="24"/>
        </w:rPr>
        <w:t xml:space="preserve"> who reports on her experience of using the principles of notions revolving around the flipped classroom as a means to promot</w:t>
      </w:r>
      <w:r w:rsidR="00C63A06">
        <w:rPr>
          <w:sz w:val="24"/>
          <w:szCs w:val="24"/>
        </w:rPr>
        <w:t>ing</w:t>
      </w:r>
      <w:r w:rsidR="009A50F6">
        <w:rPr>
          <w:sz w:val="24"/>
          <w:szCs w:val="24"/>
        </w:rPr>
        <w:t xml:space="preserve"> quality learning. </w:t>
      </w:r>
      <w:r w:rsidR="00A41676">
        <w:rPr>
          <w:sz w:val="24"/>
          <w:szCs w:val="24"/>
        </w:rPr>
        <w:t>And innovations are evident in the way these practitioners promote scholarship of action research, self-enquiry, etc. among their students – ensuring that students are empowered to become independent scholars of the future.</w:t>
      </w:r>
    </w:p>
    <w:p w:rsidR="00591F36" w:rsidRDefault="007F08D0">
      <w:pPr>
        <w:rPr>
          <w:sz w:val="24"/>
          <w:szCs w:val="24"/>
        </w:rPr>
      </w:pPr>
      <w:r>
        <w:rPr>
          <w:sz w:val="24"/>
          <w:szCs w:val="24"/>
        </w:rPr>
        <w:t xml:space="preserve">The articles are not ordered in a specific way – showing that all the research projects reported are </w:t>
      </w:r>
      <w:r w:rsidR="00986ADF">
        <w:rPr>
          <w:sz w:val="24"/>
          <w:szCs w:val="24"/>
        </w:rPr>
        <w:t xml:space="preserve">the scholarly output of </w:t>
      </w:r>
      <w:r>
        <w:rPr>
          <w:sz w:val="24"/>
          <w:szCs w:val="24"/>
        </w:rPr>
        <w:t xml:space="preserve">a collective. It is </w:t>
      </w:r>
      <w:r w:rsidR="00404870">
        <w:rPr>
          <w:sz w:val="24"/>
          <w:szCs w:val="24"/>
        </w:rPr>
        <w:t>a socio-constru</w:t>
      </w:r>
      <w:r w:rsidR="001E591E">
        <w:rPr>
          <w:sz w:val="24"/>
          <w:szCs w:val="24"/>
        </w:rPr>
        <w:t>c</w:t>
      </w:r>
      <w:r w:rsidR="00404870">
        <w:rPr>
          <w:sz w:val="24"/>
          <w:szCs w:val="24"/>
        </w:rPr>
        <w:t xml:space="preserve">tivist </w:t>
      </w:r>
      <w:r>
        <w:rPr>
          <w:sz w:val="24"/>
          <w:szCs w:val="24"/>
        </w:rPr>
        <w:t>ethnographic</w:t>
      </w:r>
      <w:r w:rsidR="00FA212F">
        <w:rPr>
          <w:sz w:val="24"/>
          <w:szCs w:val="24"/>
        </w:rPr>
        <w:t xml:space="preserve"> </w:t>
      </w:r>
      <w:r w:rsidR="00404870">
        <w:rPr>
          <w:sz w:val="24"/>
          <w:szCs w:val="24"/>
        </w:rPr>
        <w:t>picture</w:t>
      </w:r>
      <w:r>
        <w:rPr>
          <w:sz w:val="24"/>
          <w:szCs w:val="24"/>
        </w:rPr>
        <w:t xml:space="preserve">. </w:t>
      </w:r>
      <w:r w:rsidR="00591F36">
        <w:rPr>
          <w:sz w:val="24"/>
          <w:szCs w:val="24"/>
        </w:rPr>
        <w:t xml:space="preserve">It is </w:t>
      </w:r>
      <w:r w:rsidR="00A00DD4">
        <w:rPr>
          <w:sz w:val="24"/>
          <w:szCs w:val="24"/>
        </w:rPr>
        <w:t>not meant to be ordered in a</w:t>
      </w:r>
      <w:r w:rsidR="00591F36">
        <w:rPr>
          <w:sz w:val="24"/>
          <w:szCs w:val="24"/>
        </w:rPr>
        <w:t xml:space="preserve"> sequential</w:t>
      </w:r>
      <w:r w:rsidR="00A00DD4">
        <w:rPr>
          <w:sz w:val="24"/>
          <w:szCs w:val="24"/>
        </w:rPr>
        <w:t xml:space="preserve"> format</w:t>
      </w:r>
      <w:r w:rsidR="00591F36">
        <w:rPr>
          <w:sz w:val="24"/>
          <w:szCs w:val="24"/>
        </w:rPr>
        <w:t>. It rather is a mix – in terms of institution</w:t>
      </w:r>
      <w:r w:rsidR="00260C1B">
        <w:rPr>
          <w:sz w:val="24"/>
          <w:szCs w:val="24"/>
        </w:rPr>
        <w:t>al</w:t>
      </w:r>
      <w:r w:rsidR="00591F36">
        <w:rPr>
          <w:sz w:val="24"/>
          <w:szCs w:val="24"/>
        </w:rPr>
        <w:t xml:space="preserve"> affiliation, subject specialisation foc</w:t>
      </w:r>
      <w:r w:rsidR="00260C1B">
        <w:rPr>
          <w:sz w:val="24"/>
          <w:szCs w:val="24"/>
        </w:rPr>
        <w:t>i</w:t>
      </w:r>
      <w:r w:rsidR="00591F36">
        <w:rPr>
          <w:sz w:val="24"/>
          <w:szCs w:val="24"/>
        </w:rPr>
        <w:t xml:space="preserve"> and research designs </w:t>
      </w:r>
      <w:r w:rsidR="00C90753">
        <w:rPr>
          <w:sz w:val="24"/>
          <w:szCs w:val="24"/>
        </w:rPr>
        <w:t>em</w:t>
      </w:r>
      <w:r w:rsidR="00591F36">
        <w:rPr>
          <w:sz w:val="24"/>
          <w:szCs w:val="24"/>
        </w:rPr>
        <w:t>ployed.</w:t>
      </w:r>
      <w:r w:rsidR="001E591E">
        <w:rPr>
          <w:sz w:val="24"/>
          <w:szCs w:val="24"/>
        </w:rPr>
        <w:t xml:space="preserve"> It is significant that the notion of looking into the </w:t>
      </w:r>
      <w:r w:rsidR="001E591E" w:rsidRPr="001E591E">
        <w:rPr>
          <w:i/>
          <w:sz w:val="24"/>
          <w:szCs w:val="24"/>
        </w:rPr>
        <w:t>self</w:t>
      </w:r>
      <w:r w:rsidR="001E591E">
        <w:rPr>
          <w:sz w:val="24"/>
          <w:szCs w:val="24"/>
        </w:rPr>
        <w:t xml:space="preserve"> is evident country-wide.</w:t>
      </w:r>
      <w:r w:rsidR="00C63A06">
        <w:rPr>
          <w:sz w:val="24"/>
          <w:szCs w:val="24"/>
        </w:rPr>
        <w:t xml:space="preserve"> </w:t>
      </w:r>
      <w:r w:rsidR="001E591E">
        <w:rPr>
          <w:sz w:val="24"/>
          <w:szCs w:val="24"/>
        </w:rPr>
        <w:t xml:space="preserve">  </w:t>
      </w:r>
    </w:p>
    <w:p w:rsidR="00A00DD4" w:rsidRDefault="002B19D3">
      <w:pPr>
        <w:rPr>
          <w:sz w:val="24"/>
          <w:szCs w:val="24"/>
        </w:rPr>
      </w:pPr>
      <w:r>
        <w:rPr>
          <w:sz w:val="24"/>
          <w:szCs w:val="24"/>
        </w:rPr>
        <w:t xml:space="preserve">Participatory action research is given the attention it deserves in the article by </w:t>
      </w:r>
      <w:proofErr w:type="spellStart"/>
      <w:r w:rsidR="001E591E">
        <w:rPr>
          <w:sz w:val="24"/>
          <w:szCs w:val="24"/>
        </w:rPr>
        <w:t>Ansurie</w:t>
      </w:r>
      <w:proofErr w:type="spellEnd"/>
      <w:r w:rsidR="001E591E">
        <w:rPr>
          <w:sz w:val="24"/>
          <w:szCs w:val="24"/>
        </w:rPr>
        <w:t xml:space="preserve"> </w:t>
      </w:r>
      <w:r>
        <w:rPr>
          <w:sz w:val="24"/>
          <w:szCs w:val="24"/>
        </w:rPr>
        <w:t xml:space="preserve">Pillay. </w:t>
      </w:r>
      <w:r w:rsidR="001E591E">
        <w:rPr>
          <w:sz w:val="24"/>
          <w:szCs w:val="24"/>
        </w:rPr>
        <w:t xml:space="preserve">An action research design informed the study. So did this design type, or action research </w:t>
      </w:r>
      <w:r w:rsidR="001E591E" w:rsidRPr="001E591E">
        <w:rPr>
          <w:i/>
          <w:sz w:val="24"/>
          <w:szCs w:val="24"/>
        </w:rPr>
        <w:t>per se</w:t>
      </w:r>
      <w:r w:rsidR="00507F7F">
        <w:rPr>
          <w:sz w:val="24"/>
          <w:szCs w:val="24"/>
        </w:rPr>
        <w:t>,</w:t>
      </w:r>
      <w:r w:rsidR="001E591E">
        <w:rPr>
          <w:sz w:val="24"/>
          <w:szCs w:val="24"/>
        </w:rPr>
        <w:t xml:space="preserve"> give direction to other studies. Angeline van </w:t>
      </w:r>
      <w:proofErr w:type="spellStart"/>
      <w:r w:rsidR="001E591E">
        <w:rPr>
          <w:sz w:val="24"/>
          <w:szCs w:val="24"/>
        </w:rPr>
        <w:t>Wyngaarden</w:t>
      </w:r>
      <w:proofErr w:type="spellEnd"/>
      <w:r w:rsidR="001E591E">
        <w:rPr>
          <w:sz w:val="24"/>
          <w:szCs w:val="24"/>
        </w:rPr>
        <w:t xml:space="preserve"> and </w:t>
      </w:r>
      <w:r w:rsidR="00507F7F">
        <w:rPr>
          <w:sz w:val="24"/>
          <w:szCs w:val="24"/>
        </w:rPr>
        <w:t xml:space="preserve">her </w:t>
      </w:r>
      <w:r w:rsidR="001E591E">
        <w:rPr>
          <w:sz w:val="24"/>
          <w:szCs w:val="24"/>
        </w:rPr>
        <w:t xml:space="preserve">co-workers </w:t>
      </w:r>
      <w:r w:rsidR="00507F7F">
        <w:rPr>
          <w:sz w:val="24"/>
          <w:szCs w:val="24"/>
        </w:rPr>
        <w:t>found</w:t>
      </w:r>
      <w:r w:rsidR="00D56E38">
        <w:rPr>
          <w:sz w:val="24"/>
          <w:szCs w:val="24"/>
        </w:rPr>
        <w:t xml:space="preserve"> this approach to their study as</w:t>
      </w:r>
      <w:r w:rsidR="00507F7F">
        <w:rPr>
          <w:sz w:val="24"/>
          <w:szCs w:val="24"/>
        </w:rPr>
        <w:t xml:space="preserve"> </w:t>
      </w:r>
      <w:r w:rsidR="00A00DD4">
        <w:rPr>
          <w:sz w:val="24"/>
          <w:szCs w:val="24"/>
        </w:rPr>
        <w:t xml:space="preserve">being </w:t>
      </w:r>
      <w:r w:rsidR="00507F7F">
        <w:rPr>
          <w:sz w:val="24"/>
          <w:szCs w:val="24"/>
        </w:rPr>
        <w:t xml:space="preserve">apt. Scholarship of other research approaches, such as auto-ethnography is evident in the work by </w:t>
      </w:r>
      <w:proofErr w:type="spellStart"/>
      <w:r w:rsidR="00507F7F">
        <w:rPr>
          <w:sz w:val="24"/>
          <w:szCs w:val="24"/>
        </w:rPr>
        <w:t>Sumari</w:t>
      </w:r>
      <w:proofErr w:type="spellEnd"/>
      <w:r w:rsidR="00507F7F">
        <w:rPr>
          <w:sz w:val="24"/>
          <w:szCs w:val="24"/>
        </w:rPr>
        <w:t xml:space="preserve"> O’Neil and Linda Van </w:t>
      </w:r>
      <w:proofErr w:type="spellStart"/>
      <w:r w:rsidR="00507F7F">
        <w:rPr>
          <w:sz w:val="24"/>
          <w:szCs w:val="24"/>
        </w:rPr>
        <w:t>Laren</w:t>
      </w:r>
      <w:proofErr w:type="spellEnd"/>
      <w:r w:rsidR="00507F7F">
        <w:rPr>
          <w:sz w:val="24"/>
          <w:szCs w:val="24"/>
        </w:rPr>
        <w:t xml:space="preserve">. </w:t>
      </w:r>
      <w:proofErr w:type="spellStart"/>
      <w:r w:rsidR="00507F7F">
        <w:rPr>
          <w:sz w:val="24"/>
          <w:szCs w:val="24"/>
        </w:rPr>
        <w:t>Sumari’s</w:t>
      </w:r>
      <w:proofErr w:type="spellEnd"/>
      <w:r w:rsidR="00507F7F">
        <w:rPr>
          <w:sz w:val="24"/>
          <w:szCs w:val="24"/>
        </w:rPr>
        <w:t xml:space="preserve"> deconstructing of auto-ethnography</w:t>
      </w:r>
      <w:r w:rsidR="00A41676">
        <w:rPr>
          <w:sz w:val="24"/>
          <w:szCs w:val="24"/>
        </w:rPr>
        <w:t xml:space="preserve"> brings a new perspective to our considering of meaning making. Using auto-ethnography in the context of postgraduate research supervision in itself is innovative. Reporting on supervision practice in general is neglected in South Africa. More studies of this nature should inform our meaning making in terms of this responsibility most academics have.</w:t>
      </w:r>
      <w:r w:rsidR="009A50F6">
        <w:rPr>
          <w:sz w:val="24"/>
          <w:szCs w:val="24"/>
        </w:rPr>
        <w:t xml:space="preserve"> Linda van </w:t>
      </w:r>
      <w:proofErr w:type="spellStart"/>
      <w:r w:rsidR="009A50F6">
        <w:rPr>
          <w:sz w:val="24"/>
          <w:szCs w:val="24"/>
        </w:rPr>
        <w:t>Laren</w:t>
      </w:r>
      <w:proofErr w:type="spellEnd"/>
      <w:r w:rsidR="009A50F6">
        <w:rPr>
          <w:sz w:val="24"/>
          <w:szCs w:val="24"/>
        </w:rPr>
        <w:t xml:space="preserve"> makes us aware of the role auto-ethnography can play in terms of a better understanding of HIV/AIDS contexts.</w:t>
      </w:r>
      <w:r w:rsidR="000E7CC1">
        <w:rPr>
          <w:sz w:val="24"/>
          <w:szCs w:val="24"/>
        </w:rPr>
        <w:t xml:space="preserve"> Karen </w:t>
      </w:r>
      <w:proofErr w:type="spellStart"/>
      <w:r w:rsidR="000E7CC1">
        <w:rPr>
          <w:sz w:val="24"/>
          <w:szCs w:val="24"/>
        </w:rPr>
        <w:t>Collett</w:t>
      </w:r>
      <w:proofErr w:type="spellEnd"/>
      <w:r w:rsidR="000E7CC1">
        <w:rPr>
          <w:sz w:val="24"/>
          <w:szCs w:val="24"/>
        </w:rPr>
        <w:t xml:space="preserve"> and her co-authors promotes in their article the expanding of auto-ethnographic as a collaborative endeavour.  </w:t>
      </w:r>
    </w:p>
    <w:p w:rsidR="00B6619F" w:rsidRDefault="00A00DD4">
      <w:pPr>
        <w:rPr>
          <w:sz w:val="24"/>
          <w:szCs w:val="24"/>
        </w:rPr>
      </w:pPr>
      <w:r>
        <w:rPr>
          <w:sz w:val="24"/>
          <w:szCs w:val="24"/>
        </w:rPr>
        <w:lastRenderedPageBreak/>
        <w:t>Some of the articles focus on teacher e</w:t>
      </w:r>
      <w:r w:rsidR="00C90753">
        <w:rPr>
          <w:sz w:val="24"/>
          <w:szCs w:val="24"/>
        </w:rPr>
        <w:t xml:space="preserve">ducation with specific reference to teaching practice or school visits as a form of work-integrated learning. </w:t>
      </w:r>
      <w:r>
        <w:rPr>
          <w:sz w:val="24"/>
          <w:szCs w:val="24"/>
        </w:rPr>
        <w:t xml:space="preserve">According to scholars, such </w:t>
      </w:r>
      <w:r w:rsidRPr="00A00DD4">
        <w:rPr>
          <w:sz w:val="24"/>
          <w:szCs w:val="24"/>
        </w:rPr>
        <w:t xml:space="preserve">as </w:t>
      </w:r>
      <w:r w:rsidRPr="00A00DD4">
        <w:t xml:space="preserve">Price (2001), </w:t>
      </w:r>
      <w:proofErr w:type="spellStart"/>
      <w:r w:rsidRPr="00A00DD4">
        <w:t>Mertler</w:t>
      </w:r>
      <w:proofErr w:type="spellEnd"/>
      <w:r w:rsidRPr="00A00DD4">
        <w:t xml:space="preserve"> (2008), </w:t>
      </w:r>
      <w:proofErr w:type="spellStart"/>
      <w:r w:rsidRPr="00A00DD4">
        <w:t>Mitchener</w:t>
      </w:r>
      <w:proofErr w:type="spellEnd"/>
      <w:r w:rsidRPr="00A00DD4">
        <w:t xml:space="preserve"> and Jackson (2012)</w:t>
      </w:r>
      <w:r>
        <w:t xml:space="preserve"> not many studies of teacher education, specifically mentoring pre-service teachers, made use of action research, self-study,</w:t>
      </w:r>
      <w:r w:rsidR="00B6619F">
        <w:t xml:space="preserve"> </w:t>
      </w:r>
      <w:r>
        <w:t>auto-ethnography</w:t>
      </w:r>
      <w:r w:rsidR="00B6619F">
        <w:t xml:space="preserve">, reflexive practice, etc. The articles with the focus on teacher education included are exemplary of the shift that needs to be made – bringing the </w:t>
      </w:r>
      <w:r w:rsidR="00B6619F" w:rsidRPr="00B6619F">
        <w:rPr>
          <w:i/>
        </w:rPr>
        <w:t>self</w:t>
      </w:r>
      <w:r w:rsidR="00B6619F">
        <w:t xml:space="preserve"> (academics and students alike) – into the scholarly picture. This makes for new meaning making</w:t>
      </w:r>
      <w:r>
        <w:rPr>
          <w:sz w:val="24"/>
          <w:szCs w:val="24"/>
        </w:rPr>
        <w:t xml:space="preserve"> </w:t>
      </w:r>
      <w:r w:rsidR="00B6619F">
        <w:rPr>
          <w:sz w:val="24"/>
          <w:szCs w:val="24"/>
        </w:rPr>
        <w:t>that is essential for broadening our current understanding of teacher education in general. New meaning making stems from the fact that constructivism is an epistemological stance that informs all the studies reported, although not spelled out as such in the different articles.</w:t>
      </w:r>
      <w:r w:rsidR="00A41676">
        <w:rPr>
          <w:sz w:val="24"/>
          <w:szCs w:val="24"/>
        </w:rPr>
        <w:t xml:space="preserve"> </w:t>
      </w:r>
      <w:r w:rsidR="009A1D6B">
        <w:rPr>
          <w:sz w:val="24"/>
          <w:szCs w:val="24"/>
        </w:rPr>
        <w:t xml:space="preserve">Omar </w:t>
      </w:r>
      <w:proofErr w:type="spellStart"/>
      <w:r w:rsidR="009A1D6B">
        <w:rPr>
          <w:sz w:val="24"/>
          <w:szCs w:val="24"/>
        </w:rPr>
        <w:t>Essau’s</w:t>
      </w:r>
      <w:proofErr w:type="spellEnd"/>
      <w:r w:rsidR="009A1D6B">
        <w:rPr>
          <w:sz w:val="24"/>
          <w:szCs w:val="24"/>
        </w:rPr>
        <w:t xml:space="preserve"> contribution indicates specifically how pre-service teacher education could contribute to improving schools. If teaching practice is considered a form of community engagement as is the case with some faculties of education in South Africa, the construct ‘service learning’ comes to the fore. Teaching practice is not merely an opportunity for pre-service teachers in terms of self-development</w:t>
      </w:r>
      <w:r w:rsidR="00BD0068">
        <w:rPr>
          <w:sz w:val="24"/>
          <w:szCs w:val="24"/>
        </w:rPr>
        <w:t>. It is an opportunity</w:t>
      </w:r>
      <w:r w:rsidR="009A1D6B">
        <w:rPr>
          <w:sz w:val="24"/>
          <w:szCs w:val="24"/>
        </w:rPr>
        <w:t xml:space="preserve"> to learn from the school community</w:t>
      </w:r>
      <w:r w:rsidR="00BD0068">
        <w:rPr>
          <w:sz w:val="24"/>
          <w:szCs w:val="24"/>
        </w:rPr>
        <w:t>. A</w:t>
      </w:r>
      <w:r w:rsidR="009A1D6B">
        <w:rPr>
          <w:sz w:val="24"/>
          <w:szCs w:val="24"/>
        </w:rPr>
        <w:t xml:space="preserve">nd </w:t>
      </w:r>
      <w:r w:rsidR="00BD0068">
        <w:rPr>
          <w:sz w:val="24"/>
          <w:szCs w:val="24"/>
        </w:rPr>
        <w:t xml:space="preserve">it is an opportunity </w:t>
      </w:r>
      <w:r w:rsidR="009A1D6B">
        <w:rPr>
          <w:sz w:val="24"/>
          <w:szCs w:val="24"/>
        </w:rPr>
        <w:t>to give back to this community with a view to contributing to</w:t>
      </w:r>
      <w:r w:rsidR="00BD0068">
        <w:rPr>
          <w:sz w:val="24"/>
          <w:szCs w:val="24"/>
        </w:rPr>
        <w:t xml:space="preserve"> its development. Omar focuses specifically on contributing to making schools a safer and enriched environment. </w:t>
      </w:r>
      <w:r w:rsidR="009A1D6B">
        <w:rPr>
          <w:sz w:val="24"/>
          <w:szCs w:val="24"/>
        </w:rPr>
        <w:t xml:space="preserve"> </w:t>
      </w:r>
      <w:r w:rsidR="006F4CC7">
        <w:rPr>
          <w:sz w:val="24"/>
          <w:szCs w:val="24"/>
        </w:rPr>
        <w:t xml:space="preserve">The lens Wilfred </w:t>
      </w:r>
      <w:proofErr w:type="spellStart"/>
      <w:r w:rsidR="006F4CC7">
        <w:rPr>
          <w:sz w:val="24"/>
          <w:szCs w:val="24"/>
        </w:rPr>
        <w:t>Molotja</w:t>
      </w:r>
      <w:proofErr w:type="spellEnd"/>
      <w:r w:rsidR="006F4CC7">
        <w:rPr>
          <w:sz w:val="24"/>
          <w:szCs w:val="24"/>
        </w:rPr>
        <w:t xml:space="preserve"> and co-author use is specifically on teaching English as subject. The </w:t>
      </w:r>
      <w:r w:rsidR="00BD4A4B">
        <w:rPr>
          <w:sz w:val="24"/>
          <w:szCs w:val="24"/>
        </w:rPr>
        <w:t>en</w:t>
      </w:r>
      <w:r w:rsidR="006F4CC7">
        <w:rPr>
          <w:sz w:val="24"/>
          <w:szCs w:val="24"/>
        </w:rPr>
        <w:t>act</w:t>
      </w:r>
      <w:r w:rsidR="00BD4A4B">
        <w:rPr>
          <w:sz w:val="24"/>
          <w:szCs w:val="24"/>
        </w:rPr>
        <w:t>ing</w:t>
      </w:r>
      <w:r w:rsidR="006F4CC7">
        <w:rPr>
          <w:sz w:val="24"/>
          <w:szCs w:val="24"/>
        </w:rPr>
        <w:t xml:space="preserve"> of </w:t>
      </w:r>
      <w:r w:rsidR="00BD4A4B">
        <w:rPr>
          <w:sz w:val="24"/>
          <w:szCs w:val="24"/>
        </w:rPr>
        <w:t xml:space="preserve">the importance of </w:t>
      </w:r>
      <w:r w:rsidR="006F4CC7">
        <w:rPr>
          <w:sz w:val="24"/>
          <w:szCs w:val="24"/>
        </w:rPr>
        <w:t>reflecting lies</w:t>
      </w:r>
      <w:r w:rsidR="00BD4A4B">
        <w:rPr>
          <w:sz w:val="24"/>
          <w:szCs w:val="24"/>
        </w:rPr>
        <w:t xml:space="preserve"> with the student teachers. This is an essential attribute of a teacher and is considered one of the attributes of the 21</w:t>
      </w:r>
      <w:r w:rsidR="00BD4A4B" w:rsidRPr="00BD4A4B">
        <w:rPr>
          <w:sz w:val="24"/>
          <w:szCs w:val="24"/>
          <w:vertAlign w:val="superscript"/>
        </w:rPr>
        <w:t>st</w:t>
      </w:r>
      <w:r w:rsidR="00BD4A4B">
        <w:rPr>
          <w:sz w:val="24"/>
          <w:szCs w:val="24"/>
        </w:rPr>
        <w:t xml:space="preserve"> Century that is often taken in consideration in the literature on professionalism. In this case the teacher as professional.  </w:t>
      </w:r>
      <w:r w:rsidR="006F4CC7">
        <w:rPr>
          <w:sz w:val="24"/>
          <w:szCs w:val="24"/>
        </w:rPr>
        <w:t xml:space="preserve"> </w:t>
      </w:r>
      <w:r w:rsidR="009A1D6B">
        <w:rPr>
          <w:sz w:val="24"/>
          <w:szCs w:val="24"/>
        </w:rPr>
        <w:t xml:space="preserve">  </w:t>
      </w:r>
      <w:r w:rsidR="00A41676">
        <w:rPr>
          <w:sz w:val="24"/>
          <w:szCs w:val="24"/>
        </w:rPr>
        <w:t xml:space="preserve"> </w:t>
      </w:r>
    </w:p>
    <w:p w:rsidR="00260C1B" w:rsidRDefault="00B6619F">
      <w:pPr>
        <w:rPr>
          <w:sz w:val="24"/>
          <w:szCs w:val="24"/>
        </w:rPr>
      </w:pPr>
      <w:r>
        <w:rPr>
          <w:sz w:val="24"/>
          <w:szCs w:val="24"/>
        </w:rPr>
        <w:t xml:space="preserve">I would consider all the contributions as exemplary of the educational professional development of academic staff – the scholars involved in the studies being reported. </w:t>
      </w:r>
      <w:proofErr w:type="spellStart"/>
      <w:r w:rsidR="008C28C1">
        <w:rPr>
          <w:sz w:val="24"/>
          <w:szCs w:val="24"/>
        </w:rPr>
        <w:t>Siza</w:t>
      </w:r>
      <w:proofErr w:type="spellEnd"/>
      <w:r w:rsidR="008C28C1">
        <w:rPr>
          <w:sz w:val="24"/>
          <w:szCs w:val="24"/>
        </w:rPr>
        <w:t xml:space="preserve"> </w:t>
      </w:r>
      <w:proofErr w:type="spellStart"/>
      <w:r w:rsidR="008C28C1">
        <w:rPr>
          <w:sz w:val="24"/>
          <w:szCs w:val="24"/>
        </w:rPr>
        <w:t>Makanya</w:t>
      </w:r>
      <w:proofErr w:type="spellEnd"/>
      <w:r w:rsidR="008C28C1">
        <w:rPr>
          <w:sz w:val="24"/>
          <w:szCs w:val="24"/>
        </w:rPr>
        <w:t xml:space="preserve"> reports on this; so do Karen </w:t>
      </w:r>
      <w:proofErr w:type="spellStart"/>
      <w:r w:rsidR="008C28C1">
        <w:rPr>
          <w:sz w:val="24"/>
          <w:szCs w:val="24"/>
        </w:rPr>
        <w:t>Collett</w:t>
      </w:r>
      <w:proofErr w:type="spellEnd"/>
      <w:r w:rsidR="008C28C1">
        <w:rPr>
          <w:sz w:val="24"/>
          <w:szCs w:val="24"/>
        </w:rPr>
        <w:t xml:space="preserve"> and her co-workers. </w:t>
      </w:r>
      <w:r>
        <w:rPr>
          <w:sz w:val="24"/>
          <w:szCs w:val="24"/>
        </w:rPr>
        <w:t xml:space="preserve">Again, not all articles refer to this phenomenon. In some this is suggested </w:t>
      </w:r>
      <w:r w:rsidR="00FB1EFE">
        <w:rPr>
          <w:sz w:val="24"/>
          <w:szCs w:val="24"/>
        </w:rPr>
        <w:t>in the title. However, inherently all the articles have educational professio</w:t>
      </w:r>
      <w:r w:rsidR="00C90753">
        <w:rPr>
          <w:sz w:val="24"/>
          <w:szCs w:val="24"/>
        </w:rPr>
        <w:t>nal development as focus.</w:t>
      </w:r>
      <w:r>
        <w:rPr>
          <w:sz w:val="24"/>
          <w:szCs w:val="24"/>
        </w:rPr>
        <w:t xml:space="preserve"> </w:t>
      </w:r>
      <w:r w:rsidR="003C10E0">
        <w:rPr>
          <w:sz w:val="24"/>
          <w:szCs w:val="24"/>
        </w:rPr>
        <w:t xml:space="preserve">And if we consider our professional development as important we need to act as role-models to our students in this regard. This role-modelling is the focus of the article by Anita </w:t>
      </w:r>
      <w:proofErr w:type="spellStart"/>
      <w:r w:rsidR="003C10E0">
        <w:rPr>
          <w:sz w:val="24"/>
          <w:szCs w:val="24"/>
        </w:rPr>
        <w:t>Hiralaal</w:t>
      </w:r>
      <w:proofErr w:type="spellEnd"/>
      <w:r w:rsidR="003C10E0">
        <w:rPr>
          <w:sz w:val="24"/>
          <w:szCs w:val="24"/>
        </w:rPr>
        <w:t>.</w:t>
      </w:r>
      <w:r w:rsidR="00A41676">
        <w:rPr>
          <w:sz w:val="24"/>
          <w:szCs w:val="24"/>
        </w:rPr>
        <w:t xml:space="preserve">  </w:t>
      </w:r>
      <w:r w:rsidR="00507F7F">
        <w:rPr>
          <w:sz w:val="24"/>
          <w:szCs w:val="24"/>
        </w:rPr>
        <w:t xml:space="preserve">    </w:t>
      </w:r>
      <w:r w:rsidR="00D56E38">
        <w:rPr>
          <w:sz w:val="24"/>
          <w:szCs w:val="24"/>
        </w:rPr>
        <w:t xml:space="preserve">  </w:t>
      </w:r>
    </w:p>
    <w:p w:rsidR="00C63A06" w:rsidRDefault="008C28C1">
      <w:pPr>
        <w:rPr>
          <w:sz w:val="24"/>
          <w:szCs w:val="24"/>
        </w:rPr>
      </w:pPr>
      <w:r>
        <w:rPr>
          <w:sz w:val="24"/>
          <w:szCs w:val="24"/>
        </w:rPr>
        <w:t>Education in Health Sci</w:t>
      </w:r>
      <w:r w:rsidR="00B978DF">
        <w:rPr>
          <w:sz w:val="24"/>
          <w:szCs w:val="24"/>
        </w:rPr>
        <w:t>e</w:t>
      </w:r>
      <w:r>
        <w:rPr>
          <w:sz w:val="24"/>
          <w:szCs w:val="24"/>
        </w:rPr>
        <w:t xml:space="preserve">nces in general and </w:t>
      </w:r>
      <w:r w:rsidR="00B978DF">
        <w:rPr>
          <w:sz w:val="24"/>
          <w:szCs w:val="24"/>
        </w:rPr>
        <w:t>n</w:t>
      </w:r>
      <w:r w:rsidR="003C10E0">
        <w:rPr>
          <w:sz w:val="24"/>
          <w:szCs w:val="24"/>
        </w:rPr>
        <w:t>urse education</w:t>
      </w:r>
      <w:r w:rsidR="00B978DF">
        <w:rPr>
          <w:sz w:val="24"/>
          <w:szCs w:val="24"/>
        </w:rPr>
        <w:t xml:space="preserve"> in particular</w:t>
      </w:r>
      <w:r w:rsidR="003C10E0">
        <w:rPr>
          <w:sz w:val="24"/>
          <w:szCs w:val="24"/>
        </w:rPr>
        <w:t xml:space="preserve"> is an important part of the higher education landscape. Two articles are devoted to </w:t>
      </w:r>
      <w:r w:rsidR="00B978DF">
        <w:rPr>
          <w:sz w:val="24"/>
          <w:szCs w:val="24"/>
        </w:rPr>
        <w:t>specialisation in the</w:t>
      </w:r>
      <w:r w:rsidR="003C10E0">
        <w:rPr>
          <w:sz w:val="24"/>
          <w:szCs w:val="24"/>
        </w:rPr>
        <w:t xml:space="preserve"> field of </w:t>
      </w:r>
      <w:r w:rsidR="00B978DF">
        <w:rPr>
          <w:sz w:val="24"/>
          <w:szCs w:val="24"/>
        </w:rPr>
        <w:t>health sciences</w:t>
      </w:r>
      <w:r w:rsidR="003C10E0">
        <w:rPr>
          <w:sz w:val="24"/>
          <w:szCs w:val="24"/>
        </w:rPr>
        <w:t xml:space="preserve">: the article by Angeline van </w:t>
      </w:r>
      <w:proofErr w:type="spellStart"/>
      <w:r w:rsidR="003C10E0">
        <w:rPr>
          <w:sz w:val="24"/>
          <w:szCs w:val="24"/>
        </w:rPr>
        <w:t>Wyngaarden</w:t>
      </w:r>
      <w:proofErr w:type="spellEnd"/>
      <w:r w:rsidR="003C10E0">
        <w:rPr>
          <w:sz w:val="24"/>
          <w:szCs w:val="24"/>
        </w:rPr>
        <w:t xml:space="preserve"> and co-authors and the article by </w:t>
      </w:r>
      <w:r>
        <w:rPr>
          <w:sz w:val="24"/>
          <w:szCs w:val="24"/>
        </w:rPr>
        <w:t xml:space="preserve">Gisela van </w:t>
      </w:r>
      <w:proofErr w:type="spellStart"/>
      <w:r>
        <w:rPr>
          <w:sz w:val="24"/>
          <w:szCs w:val="24"/>
        </w:rPr>
        <w:t>Rensburg</w:t>
      </w:r>
      <w:proofErr w:type="spellEnd"/>
      <w:r>
        <w:rPr>
          <w:sz w:val="24"/>
          <w:szCs w:val="24"/>
        </w:rPr>
        <w:t xml:space="preserve"> and co-authors. The latter is my deduction</w:t>
      </w:r>
      <w:r w:rsidR="00B978DF">
        <w:rPr>
          <w:sz w:val="24"/>
          <w:szCs w:val="24"/>
        </w:rPr>
        <w:t xml:space="preserve"> as the affiliation of the authors suggests this, although the study refers to students in general. </w:t>
      </w:r>
    </w:p>
    <w:p w:rsidR="00EF2E5A" w:rsidRDefault="00C63A06">
      <w:pPr>
        <w:rPr>
          <w:sz w:val="24"/>
          <w:szCs w:val="24"/>
        </w:rPr>
      </w:pPr>
      <w:r>
        <w:rPr>
          <w:sz w:val="24"/>
          <w:szCs w:val="24"/>
        </w:rPr>
        <w:t xml:space="preserve">Each article with its specific focus makes a good read. Collectively the articles spans a number of aspects that constitutes part of the South African higher education landscape as far as practice is concerned. The reader is invited to become part of the scholarly community of practice that contributed to making this Section B of the publication materialise. In reading one already becomes an important member of the scholarly community of practice since without a reader audience engaging research being reported no scholarly work is worth made public. </w:t>
      </w:r>
    </w:p>
    <w:p w:rsidR="00A8128F" w:rsidRDefault="00EF2E5A">
      <w:pPr>
        <w:rPr>
          <w:sz w:val="24"/>
          <w:szCs w:val="24"/>
        </w:rPr>
      </w:pPr>
      <w:r>
        <w:rPr>
          <w:sz w:val="24"/>
          <w:szCs w:val="24"/>
        </w:rPr>
        <w:lastRenderedPageBreak/>
        <w:t xml:space="preserve">In my article I promote the notion of meta-reflection – specifically whole brain meta-reflection. As constructivist I wish to contribute in this way to our new meaning making. I challenge all authors who contributed to this special issue to reflect on the reflection reported in their articles and elsewhere with a view to publishing a future special issue of </w:t>
      </w:r>
      <w:r w:rsidRPr="00EF2E5A">
        <w:rPr>
          <w:i/>
          <w:sz w:val="24"/>
          <w:szCs w:val="24"/>
        </w:rPr>
        <w:t>SAJHE</w:t>
      </w:r>
      <w:r>
        <w:rPr>
          <w:sz w:val="24"/>
          <w:szCs w:val="24"/>
        </w:rPr>
        <w:t xml:space="preserve"> with meta-reflection as focus. Let us envision ourselves as a scholarly community of meta-reflective practitioners. </w:t>
      </w:r>
      <w:bookmarkStart w:id="0" w:name="_GoBack"/>
      <w:bookmarkEnd w:id="0"/>
      <w:r>
        <w:rPr>
          <w:sz w:val="24"/>
          <w:szCs w:val="24"/>
        </w:rPr>
        <w:t xml:space="preserve">  </w:t>
      </w:r>
      <w:r w:rsidR="00C63A06">
        <w:rPr>
          <w:sz w:val="24"/>
          <w:szCs w:val="24"/>
        </w:rPr>
        <w:t xml:space="preserve"> </w:t>
      </w:r>
      <w:r w:rsidR="008C28C1">
        <w:rPr>
          <w:sz w:val="24"/>
          <w:szCs w:val="24"/>
        </w:rPr>
        <w:t xml:space="preserve">  </w:t>
      </w:r>
      <w:r w:rsidR="007F08D0">
        <w:rPr>
          <w:sz w:val="24"/>
          <w:szCs w:val="24"/>
        </w:rPr>
        <w:t xml:space="preserve"> </w:t>
      </w:r>
      <w:r w:rsidR="00F8372B">
        <w:rPr>
          <w:sz w:val="24"/>
          <w:szCs w:val="24"/>
        </w:rPr>
        <w:t xml:space="preserve">   </w:t>
      </w:r>
      <w:r w:rsidR="00A8128F">
        <w:rPr>
          <w:sz w:val="24"/>
          <w:szCs w:val="24"/>
        </w:rPr>
        <w:t xml:space="preserve"> </w:t>
      </w:r>
    </w:p>
    <w:p w:rsidR="00A8128F" w:rsidRPr="003D2AA0" w:rsidRDefault="00A8128F">
      <w:pPr>
        <w:rPr>
          <w:sz w:val="24"/>
          <w:szCs w:val="24"/>
        </w:rPr>
      </w:pPr>
    </w:p>
    <w:sectPr w:rsidR="00A8128F" w:rsidRPr="003D2A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AA0"/>
    <w:rsid w:val="000E7CC1"/>
    <w:rsid w:val="001E591E"/>
    <w:rsid w:val="00260C1B"/>
    <w:rsid w:val="002B19D3"/>
    <w:rsid w:val="003C10E0"/>
    <w:rsid w:val="003D2AA0"/>
    <w:rsid w:val="00404870"/>
    <w:rsid w:val="00507F7F"/>
    <w:rsid w:val="00534989"/>
    <w:rsid w:val="00591F36"/>
    <w:rsid w:val="006F4CC7"/>
    <w:rsid w:val="007F08D0"/>
    <w:rsid w:val="008C28C1"/>
    <w:rsid w:val="00974492"/>
    <w:rsid w:val="00986ADF"/>
    <w:rsid w:val="009A1D6B"/>
    <w:rsid w:val="009A50F6"/>
    <w:rsid w:val="00A00DD4"/>
    <w:rsid w:val="00A41676"/>
    <w:rsid w:val="00A8128F"/>
    <w:rsid w:val="00B6619F"/>
    <w:rsid w:val="00B978DF"/>
    <w:rsid w:val="00BD0068"/>
    <w:rsid w:val="00BD4A4B"/>
    <w:rsid w:val="00BE51D3"/>
    <w:rsid w:val="00C63A06"/>
    <w:rsid w:val="00C90753"/>
    <w:rsid w:val="00CA4926"/>
    <w:rsid w:val="00D56E38"/>
    <w:rsid w:val="00E7117D"/>
    <w:rsid w:val="00EE3BAB"/>
    <w:rsid w:val="00EF2E5A"/>
    <w:rsid w:val="00F27013"/>
    <w:rsid w:val="00F67A73"/>
    <w:rsid w:val="00F8372B"/>
    <w:rsid w:val="00FA212F"/>
    <w:rsid w:val="00FB1EF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AE99ED-5EAD-4125-8BAE-5B1B3DCEE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3</Pages>
  <Words>1090</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Pretoria</Company>
  <LinksUpToDate>false</LinksUpToDate>
  <CharactersWithSpaces>7293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PH du Toit</dc:creator>
  <cp:keywords/>
  <dc:description/>
  <cp:lastModifiedBy>Prof. PH du Toit</cp:lastModifiedBy>
  <cp:revision>14</cp:revision>
  <dcterms:created xsi:type="dcterms:W3CDTF">2018-06-06T16:55:00Z</dcterms:created>
  <dcterms:modified xsi:type="dcterms:W3CDTF">2018-06-07T14:31:00Z</dcterms:modified>
</cp:coreProperties>
</file>