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8904E" w14:textId="2B31041A" w:rsidR="004542B0" w:rsidRPr="004542B0" w:rsidRDefault="005E5F15" w:rsidP="004542B0">
      <w:pPr>
        <w:pStyle w:val="Heading1"/>
        <w:rPr>
          <w:sz w:val="28"/>
          <w:lang w:val="en-US"/>
        </w:rPr>
      </w:pPr>
      <w:bookmarkStart w:id="0" w:name="_Toc493264804"/>
      <w:bookmarkStart w:id="1" w:name="_Toc482179304"/>
      <w:bookmarkStart w:id="2" w:name="_Toc476766124"/>
      <w:bookmarkStart w:id="3" w:name="_Toc482565020"/>
      <w:bookmarkStart w:id="4" w:name="_Toc484005304"/>
      <w:r>
        <w:rPr>
          <w:sz w:val="28"/>
          <w:lang w:val="en-US"/>
        </w:rPr>
        <w:t>T</w:t>
      </w:r>
      <w:r w:rsidR="00CD4FF7" w:rsidRPr="001A203D">
        <w:rPr>
          <w:sz w:val="28"/>
          <w:lang w:val="en-US"/>
        </w:rPr>
        <w:t xml:space="preserve">he </w:t>
      </w:r>
      <w:bookmarkEnd w:id="0"/>
      <w:r>
        <w:rPr>
          <w:sz w:val="28"/>
          <w:lang w:val="en-US"/>
        </w:rPr>
        <w:t xml:space="preserve">essence and content of the work </w:t>
      </w:r>
      <w:r w:rsidR="00A73E87">
        <w:rPr>
          <w:sz w:val="28"/>
          <w:lang w:val="en-US"/>
        </w:rPr>
        <w:t xml:space="preserve">of the </w:t>
      </w:r>
      <w:proofErr w:type="spellStart"/>
      <w:r w:rsidR="007930CA" w:rsidRPr="007930CA">
        <w:rPr>
          <w:i/>
          <w:sz w:val="28"/>
          <w:lang w:val="en-US"/>
        </w:rPr>
        <w:t>diakonos</w:t>
      </w:r>
      <w:proofErr w:type="spellEnd"/>
      <w:r w:rsidR="00A73E87">
        <w:rPr>
          <w:sz w:val="28"/>
          <w:lang w:val="en-US"/>
        </w:rPr>
        <w:t xml:space="preserve"> according to </w:t>
      </w:r>
      <w:r w:rsidR="00121EF3">
        <w:rPr>
          <w:sz w:val="28"/>
          <w:lang w:val="en-US"/>
        </w:rPr>
        <w:t>the New Testament</w:t>
      </w:r>
    </w:p>
    <w:p w14:paraId="298C6982" w14:textId="61DC5399" w:rsidR="00BF3281" w:rsidRDefault="00BF3281" w:rsidP="00C65ABD">
      <w:pPr>
        <w:pStyle w:val="Heading2"/>
      </w:pPr>
      <w:bookmarkStart w:id="5" w:name="_Toc493264805"/>
      <w:bookmarkEnd w:id="1"/>
      <w:bookmarkEnd w:id="2"/>
      <w:bookmarkEnd w:id="3"/>
      <w:r>
        <w:t>Abstract</w:t>
      </w:r>
    </w:p>
    <w:p w14:paraId="471A650E" w14:textId="2469407E" w:rsidR="00301097" w:rsidRPr="00682604" w:rsidRDefault="00A73E87" w:rsidP="00027C12">
      <w:pPr>
        <w:rPr>
          <w:lang w:val="en-US"/>
        </w:rPr>
      </w:pPr>
      <w:r>
        <w:rPr>
          <w:lang w:val="en-US"/>
        </w:rPr>
        <w:t>T</w:t>
      </w:r>
      <w:r w:rsidR="000A2371" w:rsidRPr="00833139">
        <w:rPr>
          <w:lang w:val="en-US"/>
        </w:rPr>
        <w:t xml:space="preserve">he word </w:t>
      </w:r>
      <w:proofErr w:type="spellStart"/>
      <w:r w:rsidR="000A2371" w:rsidRPr="00833139">
        <w:rPr>
          <w:lang w:val="en-US"/>
        </w:rPr>
        <w:t>δι</w:t>
      </w:r>
      <w:proofErr w:type="spellEnd"/>
      <w:r w:rsidR="000A2371" w:rsidRPr="00833139">
        <w:rPr>
          <w:lang w:val="en-US"/>
        </w:rPr>
        <w:t>άκονος</w:t>
      </w:r>
      <w:r>
        <w:rPr>
          <w:lang w:val="en-US"/>
        </w:rPr>
        <w:t xml:space="preserve"> </w:t>
      </w:r>
      <w:r w:rsidR="000A2371" w:rsidRPr="00833139">
        <w:rPr>
          <w:lang w:val="en-US"/>
        </w:rPr>
        <w:t xml:space="preserve">is used for a large variety of persons in the New Testament. </w:t>
      </w:r>
      <w:r w:rsidR="000B16CA">
        <w:rPr>
          <w:lang w:val="en-US"/>
        </w:rPr>
        <w:t>The question</w:t>
      </w:r>
      <w:r w:rsidR="00862B38">
        <w:rPr>
          <w:lang w:val="en-US"/>
        </w:rPr>
        <w:t xml:space="preserve"> </w:t>
      </w:r>
      <w:r w:rsidR="00C979B7">
        <w:rPr>
          <w:lang w:val="en-US"/>
        </w:rPr>
        <w:t>can be asked</w:t>
      </w:r>
      <w:r w:rsidR="000B16CA">
        <w:rPr>
          <w:lang w:val="en-US"/>
        </w:rPr>
        <w:t xml:space="preserve"> why this specific word was </w:t>
      </w:r>
      <w:r w:rsidR="00E62C63">
        <w:rPr>
          <w:lang w:val="en-US"/>
        </w:rPr>
        <w:t xml:space="preserve">also </w:t>
      </w:r>
      <w:r w:rsidR="000B16CA">
        <w:rPr>
          <w:lang w:val="en-US"/>
        </w:rPr>
        <w:t>use</w:t>
      </w:r>
      <w:r w:rsidR="006D0344">
        <w:rPr>
          <w:lang w:val="en-US"/>
        </w:rPr>
        <w:t>d</w:t>
      </w:r>
      <w:r w:rsidR="000B16CA">
        <w:rPr>
          <w:lang w:val="en-US"/>
        </w:rPr>
        <w:t xml:space="preserve"> for</w:t>
      </w:r>
      <w:r w:rsidR="00EE608F">
        <w:rPr>
          <w:lang w:val="en-US"/>
        </w:rPr>
        <w:t xml:space="preserve"> some of the</w:t>
      </w:r>
      <w:r w:rsidR="000B16CA">
        <w:rPr>
          <w:lang w:val="en-US"/>
        </w:rPr>
        <w:t xml:space="preserve"> leaders</w:t>
      </w:r>
      <w:r w:rsidR="00027C12">
        <w:rPr>
          <w:lang w:val="en-US"/>
        </w:rPr>
        <w:t xml:space="preserve"> (deacons)</w:t>
      </w:r>
      <w:r w:rsidR="000B16CA">
        <w:rPr>
          <w:lang w:val="en-US"/>
        </w:rPr>
        <w:t xml:space="preserve"> in congregations</w:t>
      </w:r>
      <w:r w:rsidR="00076821">
        <w:rPr>
          <w:lang w:val="en-US"/>
        </w:rPr>
        <w:t>.</w:t>
      </w:r>
      <w:r w:rsidR="000B16CA">
        <w:rPr>
          <w:lang w:val="en-US"/>
        </w:rPr>
        <w:t xml:space="preserve"> </w:t>
      </w:r>
      <w:r w:rsidR="00BE6F86">
        <w:rPr>
          <w:lang w:val="en-US"/>
        </w:rPr>
        <w:t>The first step to answer this question can be to determine the essence and content of the</w:t>
      </w:r>
      <w:r w:rsidR="00BE6F86" w:rsidRPr="00BE6F86">
        <w:rPr>
          <w:lang w:val="en-US"/>
        </w:rPr>
        <w:t xml:space="preserve"> </w:t>
      </w:r>
      <w:r w:rsidR="00BE6F86">
        <w:rPr>
          <w:lang w:val="en-US"/>
        </w:rPr>
        <w:t xml:space="preserve">work of a </w:t>
      </w:r>
      <w:proofErr w:type="spellStart"/>
      <w:r w:rsidR="00BE6F86" w:rsidRPr="00833139">
        <w:rPr>
          <w:lang w:val="en-US"/>
        </w:rPr>
        <w:t>δι</w:t>
      </w:r>
      <w:proofErr w:type="spellEnd"/>
      <w:r w:rsidR="00BE6F86" w:rsidRPr="00833139">
        <w:rPr>
          <w:lang w:val="en-US"/>
        </w:rPr>
        <w:t>άκονος</w:t>
      </w:r>
      <w:r w:rsidR="00C979B7">
        <w:rPr>
          <w:lang w:val="en-US"/>
        </w:rPr>
        <w:t xml:space="preserve"> (not </w:t>
      </w:r>
      <w:r w:rsidR="00BE6F86">
        <w:rPr>
          <w:lang w:val="en-US"/>
        </w:rPr>
        <w:t xml:space="preserve">as leader) according to the New Testament. </w:t>
      </w:r>
      <w:r w:rsidR="00076821">
        <w:rPr>
          <w:lang w:val="en-US"/>
        </w:rPr>
        <w:t xml:space="preserve">The aim of the article is </w:t>
      </w:r>
      <w:r w:rsidR="007C237B">
        <w:rPr>
          <w:lang w:val="en-US"/>
        </w:rPr>
        <w:t>a close</w:t>
      </w:r>
      <w:r w:rsidR="00076821">
        <w:rPr>
          <w:lang w:val="en-US"/>
        </w:rPr>
        <w:t xml:space="preserve"> </w:t>
      </w:r>
      <w:r w:rsidR="003F26EA">
        <w:rPr>
          <w:lang w:val="en-US"/>
        </w:rPr>
        <w:t xml:space="preserve">study of </w:t>
      </w:r>
      <w:r w:rsidR="000B16CA">
        <w:rPr>
          <w:lang w:val="en-US"/>
        </w:rPr>
        <w:t xml:space="preserve">the meaning </w:t>
      </w:r>
      <w:r w:rsidR="006D0344">
        <w:rPr>
          <w:lang w:val="en-US"/>
        </w:rPr>
        <w:t xml:space="preserve">of the </w:t>
      </w:r>
      <w:proofErr w:type="spellStart"/>
      <w:r w:rsidR="006D0344">
        <w:rPr>
          <w:lang w:val="en-US"/>
        </w:rPr>
        <w:t>δι</w:t>
      </w:r>
      <w:proofErr w:type="spellEnd"/>
      <w:r w:rsidR="006D0344">
        <w:rPr>
          <w:lang w:val="en-US"/>
        </w:rPr>
        <w:t xml:space="preserve">άκον- words </w:t>
      </w:r>
      <w:r w:rsidR="00C979B7">
        <w:rPr>
          <w:lang w:val="en-US"/>
        </w:rPr>
        <w:t>in five New Testament texts</w:t>
      </w:r>
      <w:r w:rsidR="00C979B7">
        <w:rPr>
          <w:lang w:val="en-US"/>
        </w:rPr>
        <w:t xml:space="preserve"> </w:t>
      </w:r>
      <w:r w:rsidR="00076821">
        <w:rPr>
          <w:lang w:val="en-US"/>
        </w:rPr>
        <w:t xml:space="preserve">to determine </w:t>
      </w:r>
      <w:r w:rsidR="000B16CA">
        <w:rPr>
          <w:lang w:val="en-US"/>
        </w:rPr>
        <w:t xml:space="preserve">the essence and content of the task of the </w:t>
      </w:r>
      <w:proofErr w:type="spellStart"/>
      <w:r w:rsidR="000B16CA" w:rsidRPr="00833139">
        <w:rPr>
          <w:lang w:val="en-US"/>
        </w:rPr>
        <w:t>δι</w:t>
      </w:r>
      <w:proofErr w:type="spellEnd"/>
      <w:r w:rsidR="000B16CA" w:rsidRPr="00833139">
        <w:rPr>
          <w:lang w:val="en-US"/>
        </w:rPr>
        <w:t>άκονος</w:t>
      </w:r>
      <w:r w:rsidR="003B5F2A">
        <w:rPr>
          <w:lang w:val="en-US"/>
        </w:rPr>
        <w:t>.</w:t>
      </w:r>
      <w:r w:rsidR="002B07DF">
        <w:rPr>
          <w:lang w:val="en-US"/>
        </w:rPr>
        <w:t xml:space="preserve">  </w:t>
      </w:r>
      <w:r w:rsidR="00301097">
        <w:rPr>
          <w:lang w:val="en-US"/>
        </w:rPr>
        <w:t xml:space="preserve">The </w:t>
      </w:r>
      <w:r w:rsidR="002B07DF">
        <w:rPr>
          <w:lang w:val="en-US"/>
        </w:rPr>
        <w:t xml:space="preserve">conclusion is that the </w:t>
      </w:r>
      <w:r w:rsidR="00301097">
        <w:rPr>
          <w:lang w:val="en-US"/>
        </w:rPr>
        <w:t xml:space="preserve">results of this study </w:t>
      </w:r>
      <w:r w:rsidR="00027C12">
        <w:rPr>
          <w:lang w:val="en-US"/>
        </w:rPr>
        <w:t>can</w:t>
      </w:r>
      <w:r w:rsidR="002B07DF">
        <w:rPr>
          <w:lang w:val="en-US"/>
        </w:rPr>
        <w:t xml:space="preserve">not on its own determine the essence and content of the </w:t>
      </w:r>
      <w:r w:rsidR="00BF59CC">
        <w:rPr>
          <w:lang w:val="en-US"/>
        </w:rPr>
        <w:t xml:space="preserve">work of the </w:t>
      </w:r>
      <w:r w:rsidR="002B07DF">
        <w:rPr>
          <w:lang w:val="en-US"/>
        </w:rPr>
        <w:t xml:space="preserve">deacon but it </w:t>
      </w:r>
      <w:r w:rsidR="00301097">
        <w:rPr>
          <w:lang w:val="en-US"/>
        </w:rPr>
        <w:t>lay the foundation for</w:t>
      </w:r>
      <w:r w:rsidR="00571097">
        <w:rPr>
          <w:lang w:val="en-US"/>
        </w:rPr>
        <w:t xml:space="preserve"> further study about the leader</w:t>
      </w:r>
      <w:r w:rsidR="00301097" w:rsidRPr="003B5F2A">
        <w:t xml:space="preserve"> </w:t>
      </w:r>
      <w:proofErr w:type="spellStart"/>
      <w:r w:rsidR="00301097" w:rsidRPr="003B5F2A">
        <w:rPr>
          <w:lang w:val="en-US"/>
        </w:rPr>
        <w:t>δι</w:t>
      </w:r>
      <w:proofErr w:type="spellEnd"/>
      <w:r w:rsidR="00301097" w:rsidRPr="003B5F2A">
        <w:rPr>
          <w:lang w:val="en-US"/>
        </w:rPr>
        <w:t>άκονος</w:t>
      </w:r>
      <w:r w:rsidR="00862B38">
        <w:rPr>
          <w:lang w:val="en-US"/>
        </w:rPr>
        <w:t xml:space="preserve"> (deacon)</w:t>
      </w:r>
      <w:r w:rsidR="00301097">
        <w:rPr>
          <w:lang w:val="en-US"/>
        </w:rPr>
        <w:t xml:space="preserve">. </w:t>
      </w:r>
      <w:r w:rsidR="00BF59CC">
        <w:rPr>
          <w:lang w:val="en-US"/>
        </w:rPr>
        <w:t>In further study i</w:t>
      </w:r>
      <w:r w:rsidR="00BF59CC" w:rsidRPr="00682604">
        <w:rPr>
          <w:lang w:val="en-US"/>
        </w:rPr>
        <w:t xml:space="preserve">t will be important </w:t>
      </w:r>
      <w:r w:rsidR="00027C12">
        <w:rPr>
          <w:lang w:val="en-US"/>
        </w:rPr>
        <w:t xml:space="preserve">to also look at the texts where the </w:t>
      </w:r>
      <w:proofErr w:type="spellStart"/>
      <w:r w:rsidR="00027C12" w:rsidRPr="003B5F2A">
        <w:rPr>
          <w:lang w:val="en-US"/>
        </w:rPr>
        <w:t>δι</w:t>
      </w:r>
      <w:proofErr w:type="spellEnd"/>
      <w:r w:rsidR="00027C12" w:rsidRPr="003B5F2A">
        <w:rPr>
          <w:lang w:val="en-US"/>
        </w:rPr>
        <w:t>άκονος</w:t>
      </w:r>
      <w:r w:rsidR="00027C12">
        <w:rPr>
          <w:lang w:val="en-US"/>
        </w:rPr>
        <w:t xml:space="preserve"> function in a position of leadership.</w:t>
      </w:r>
    </w:p>
    <w:p w14:paraId="44950716" w14:textId="04780F40" w:rsidR="00945599" w:rsidRPr="00682604" w:rsidRDefault="00945599" w:rsidP="00C65ABD">
      <w:pPr>
        <w:pStyle w:val="Heading2"/>
        <w:rPr>
          <w:lang w:val="en-US"/>
        </w:rPr>
      </w:pPr>
      <w:r w:rsidRPr="008671DE">
        <w:t>Introduction</w:t>
      </w:r>
      <w:bookmarkEnd w:id="4"/>
      <w:r w:rsidRPr="00682604">
        <w:rPr>
          <w:lang w:val="en-US"/>
        </w:rPr>
        <w:t xml:space="preserve"> </w:t>
      </w:r>
      <w:bookmarkEnd w:id="5"/>
    </w:p>
    <w:p w14:paraId="243DC1C4" w14:textId="1A404D7E" w:rsidR="00945599" w:rsidRPr="00682604" w:rsidRDefault="00262153" w:rsidP="00BF77E2">
      <w:pPr>
        <w:rPr>
          <w:lang w:val="en-US"/>
        </w:rPr>
      </w:pPr>
      <w:r>
        <w:rPr>
          <w:lang w:val="en-US"/>
        </w:rPr>
        <w:t>The</w:t>
      </w:r>
      <w:r w:rsidRPr="00682604">
        <w:rPr>
          <w:lang w:val="en-US"/>
        </w:rPr>
        <w:t xml:space="preserve"> deacon can play a key role in </w:t>
      </w:r>
      <w:r>
        <w:rPr>
          <w:lang w:val="en-US"/>
        </w:rPr>
        <w:t>the</w:t>
      </w:r>
      <w:r w:rsidRPr="00682604">
        <w:rPr>
          <w:lang w:val="en-US"/>
        </w:rPr>
        <w:t xml:space="preserve"> ministry plan of a congregation. </w:t>
      </w:r>
      <w:r w:rsidR="00CD4FF7" w:rsidRPr="00682604">
        <w:rPr>
          <w:lang w:val="en-US"/>
        </w:rPr>
        <w:t>This article</w:t>
      </w:r>
      <w:r w:rsidR="00945599" w:rsidRPr="00682604">
        <w:rPr>
          <w:lang w:val="en-US"/>
        </w:rPr>
        <w:t xml:space="preserve"> </w:t>
      </w:r>
      <w:r>
        <w:rPr>
          <w:lang w:val="en-US"/>
        </w:rPr>
        <w:t>is a study of</w:t>
      </w:r>
      <w:r w:rsidR="00945599" w:rsidRPr="00682604">
        <w:rPr>
          <w:lang w:val="en-US"/>
        </w:rPr>
        <w:t xml:space="preserve"> the </w:t>
      </w:r>
      <w:proofErr w:type="spellStart"/>
      <w:r w:rsidR="007F0BFB" w:rsidRPr="00682604">
        <w:rPr>
          <w:lang w:val="en-US"/>
        </w:rPr>
        <w:t>δι</w:t>
      </w:r>
      <w:proofErr w:type="spellEnd"/>
      <w:r w:rsidR="007F0BFB" w:rsidRPr="00682604">
        <w:rPr>
          <w:lang w:val="en-US"/>
        </w:rPr>
        <w:t>ακονία</w:t>
      </w:r>
      <w:r w:rsidR="007F0BFB" w:rsidRPr="00682604" w:rsidDel="007F0BFB">
        <w:rPr>
          <w:lang w:val="en-US"/>
        </w:rPr>
        <w:t xml:space="preserve"> </w:t>
      </w:r>
      <w:r w:rsidR="00945599" w:rsidRPr="00682604">
        <w:rPr>
          <w:lang w:val="en-US"/>
        </w:rPr>
        <w:t xml:space="preserve">of the </w:t>
      </w:r>
      <w:proofErr w:type="spellStart"/>
      <w:r w:rsidR="007F0BFB" w:rsidRPr="00682604">
        <w:rPr>
          <w:lang w:val="en-US"/>
        </w:rPr>
        <w:t>δι</w:t>
      </w:r>
      <w:proofErr w:type="spellEnd"/>
      <w:r w:rsidR="007F0BFB" w:rsidRPr="00682604">
        <w:rPr>
          <w:lang w:val="en-US"/>
        </w:rPr>
        <w:t xml:space="preserve">άκονος </w:t>
      </w:r>
      <w:r w:rsidR="00D52294">
        <w:rPr>
          <w:lang w:val="en-US"/>
        </w:rPr>
        <w:t xml:space="preserve">(not necessarily as leader) </w:t>
      </w:r>
      <w:r w:rsidR="007F0BFB" w:rsidRPr="00682604">
        <w:rPr>
          <w:lang w:val="en-US"/>
        </w:rPr>
        <w:t xml:space="preserve">to determine </w:t>
      </w:r>
      <w:r w:rsidR="003B5F2A">
        <w:rPr>
          <w:lang w:val="en-US"/>
        </w:rPr>
        <w:t>what</w:t>
      </w:r>
      <w:r w:rsidR="007F0BFB" w:rsidRPr="00682604">
        <w:rPr>
          <w:lang w:val="en-US"/>
        </w:rPr>
        <w:t xml:space="preserve"> the essence and content of the</w:t>
      </w:r>
      <w:r w:rsidR="0029560E">
        <w:rPr>
          <w:lang w:val="en-US"/>
        </w:rPr>
        <w:t xml:space="preserve"> </w:t>
      </w:r>
      <w:proofErr w:type="spellStart"/>
      <w:r w:rsidR="0029560E" w:rsidRPr="00682604">
        <w:rPr>
          <w:lang w:val="en-US"/>
        </w:rPr>
        <w:t>δι</w:t>
      </w:r>
      <w:proofErr w:type="spellEnd"/>
      <w:r w:rsidR="0029560E" w:rsidRPr="00682604">
        <w:rPr>
          <w:lang w:val="en-US"/>
        </w:rPr>
        <w:t>ακονία</w:t>
      </w:r>
      <w:r w:rsidR="007F0BFB" w:rsidRPr="00682604">
        <w:rPr>
          <w:lang w:val="en-US"/>
        </w:rPr>
        <w:t xml:space="preserve"> of the</w:t>
      </w:r>
      <w:r w:rsidR="003B5F2A" w:rsidRPr="003B5F2A">
        <w:rPr>
          <w:lang w:val="en-US"/>
        </w:rPr>
        <w:t xml:space="preserve"> </w:t>
      </w:r>
      <w:proofErr w:type="spellStart"/>
      <w:r w:rsidR="003B5F2A" w:rsidRPr="00833139">
        <w:rPr>
          <w:lang w:val="en-US"/>
        </w:rPr>
        <w:t>δι</w:t>
      </w:r>
      <w:proofErr w:type="spellEnd"/>
      <w:r w:rsidR="003B5F2A" w:rsidRPr="00833139">
        <w:rPr>
          <w:lang w:val="en-US"/>
        </w:rPr>
        <w:t>άκονος</w:t>
      </w:r>
      <w:r w:rsidR="003B5F2A">
        <w:rPr>
          <w:lang w:val="en-US"/>
        </w:rPr>
        <w:t xml:space="preserve"> </w:t>
      </w:r>
      <w:r w:rsidR="00092239">
        <w:rPr>
          <w:lang w:val="en-US"/>
        </w:rPr>
        <w:t xml:space="preserve">was </w:t>
      </w:r>
      <w:r w:rsidR="00027C12">
        <w:rPr>
          <w:lang w:val="en-US"/>
        </w:rPr>
        <w:t>according to the New Testament</w:t>
      </w:r>
      <w:r w:rsidR="00945599" w:rsidRPr="00682604">
        <w:rPr>
          <w:lang w:val="en-US"/>
        </w:rPr>
        <w:t>. Acts 6 cannot be regarded as the description of the institution of the office of the deacon</w:t>
      </w:r>
      <w:r w:rsidR="00CB01FE" w:rsidRPr="00682604">
        <w:rPr>
          <w:lang w:val="en-US"/>
        </w:rPr>
        <w:t>,</w:t>
      </w:r>
      <w:r w:rsidR="007F0BFB" w:rsidRPr="00682604">
        <w:rPr>
          <w:lang w:val="en-US"/>
        </w:rPr>
        <w:t xml:space="preserve"> and even if you want to take Acts 6 as such</w:t>
      </w:r>
      <w:r w:rsidR="00CB01FE" w:rsidRPr="00682604">
        <w:rPr>
          <w:lang w:val="en-US"/>
        </w:rPr>
        <w:t>,</w:t>
      </w:r>
      <w:r w:rsidR="007F0BFB" w:rsidRPr="00682604">
        <w:rPr>
          <w:lang w:val="en-US"/>
        </w:rPr>
        <w:t xml:space="preserve"> it is uncertain what the essence and content of the seven’s task was</w:t>
      </w:r>
      <w:r w:rsidR="00CB01FE" w:rsidRPr="00682604">
        <w:rPr>
          <w:lang w:val="en-US"/>
        </w:rPr>
        <w:t>.</w:t>
      </w:r>
      <w:r w:rsidR="00CB01FE" w:rsidRPr="00682604">
        <w:rPr>
          <w:rStyle w:val="FootnoteReference"/>
          <w:rFonts w:ascii="Arial" w:hAnsi="Arial"/>
          <w:lang w:val="en-US"/>
        </w:rPr>
        <w:footnoteReference w:id="1"/>
      </w:r>
      <w:r w:rsidR="00945599" w:rsidRPr="00682604">
        <w:rPr>
          <w:lang w:val="en-US"/>
        </w:rPr>
        <w:t xml:space="preserve"> The question arises what the source for determining the task of the deacon </w:t>
      </w:r>
      <w:r w:rsidR="00E5627C">
        <w:rPr>
          <w:lang w:val="en-US"/>
        </w:rPr>
        <w:t>could</w:t>
      </w:r>
      <w:r w:rsidR="00945599" w:rsidRPr="00682604">
        <w:rPr>
          <w:lang w:val="en-US"/>
        </w:rPr>
        <w:t xml:space="preserve"> be. The word ‘deacon’ is derived from the word </w:t>
      </w:r>
      <w:proofErr w:type="spellStart"/>
      <w:r w:rsidR="00945599" w:rsidRPr="00682604">
        <w:rPr>
          <w:lang w:val="en-US"/>
        </w:rPr>
        <w:t>δι</w:t>
      </w:r>
      <w:proofErr w:type="spellEnd"/>
      <w:r w:rsidR="00945599" w:rsidRPr="00682604">
        <w:rPr>
          <w:lang w:val="en-US"/>
        </w:rPr>
        <w:t>άκονος</w:t>
      </w:r>
      <w:r w:rsidR="00BF77E2">
        <w:rPr>
          <w:iCs/>
          <w:lang w:val="en-US"/>
        </w:rPr>
        <w:t xml:space="preserve">; </w:t>
      </w:r>
      <w:r w:rsidR="007C237B">
        <w:rPr>
          <w:iCs/>
          <w:lang w:val="en-US"/>
        </w:rPr>
        <w:t>however,</w:t>
      </w:r>
      <w:r w:rsidR="00BF77E2">
        <w:rPr>
          <w:iCs/>
          <w:lang w:val="en-US"/>
        </w:rPr>
        <w:t xml:space="preserve"> this Greek word </w:t>
      </w:r>
      <w:r w:rsidR="00945599" w:rsidRPr="00682604">
        <w:rPr>
          <w:lang w:val="en-US"/>
        </w:rPr>
        <w:t xml:space="preserve">is used for a large variety of persons in the New Testament. It is </w:t>
      </w:r>
      <w:r w:rsidR="0029560E">
        <w:rPr>
          <w:lang w:val="en-US"/>
        </w:rPr>
        <w:t>widely accepted</w:t>
      </w:r>
      <w:r w:rsidR="00945599" w:rsidRPr="00682604">
        <w:rPr>
          <w:lang w:val="en-US"/>
        </w:rPr>
        <w:t xml:space="preserve"> that</w:t>
      </w:r>
      <w:r>
        <w:rPr>
          <w:lang w:val="en-US"/>
        </w:rPr>
        <w:t xml:space="preserve"> it is</w:t>
      </w:r>
      <w:r w:rsidR="007C0540">
        <w:rPr>
          <w:lang w:val="en-US"/>
        </w:rPr>
        <w:t>,</w:t>
      </w:r>
      <w:r>
        <w:rPr>
          <w:lang w:val="en-US"/>
        </w:rPr>
        <w:t xml:space="preserve"> </w:t>
      </w:r>
      <w:r w:rsidR="00945599" w:rsidRPr="00682604">
        <w:rPr>
          <w:lang w:val="en-US"/>
        </w:rPr>
        <w:t xml:space="preserve">as a technical term for a certain </w:t>
      </w:r>
      <w:r>
        <w:rPr>
          <w:lang w:val="en-US"/>
        </w:rPr>
        <w:t xml:space="preserve">type of </w:t>
      </w:r>
      <w:r w:rsidR="00945599" w:rsidRPr="00682604">
        <w:rPr>
          <w:lang w:val="en-US"/>
        </w:rPr>
        <w:t>leader in the congregation</w:t>
      </w:r>
      <w:r w:rsidR="007C0540">
        <w:rPr>
          <w:lang w:val="en-US"/>
        </w:rPr>
        <w:t>,</w:t>
      </w:r>
      <w:r w:rsidR="00BF77E2">
        <w:rPr>
          <w:lang w:val="en-US"/>
        </w:rPr>
        <w:t xml:space="preserve"> </w:t>
      </w:r>
      <w:r w:rsidR="007C0540">
        <w:rPr>
          <w:lang w:val="en-US"/>
        </w:rPr>
        <w:t xml:space="preserve">only </w:t>
      </w:r>
      <w:r w:rsidR="00BF77E2">
        <w:rPr>
          <w:lang w:val="en-US"/>
        </w:rPr>
        <w:t xml:space="preserve">found </w:t>
      </w:r>
      <w:r w:rsidR="00092239" w:rsidRPr="00092239">
        <w:rPr>
          <w:lang w:val="en-US"/>
        </w:rPr>
        <w:t>in Philippians 1:1 and 1 Timothy 3</w:t>
      </w:r>
      <w:r w:rsidR="00945599" w:rsidRPr="00682604">
        <w:rPr>
          <w:lang w:val="en-US"/>
        </w:rPr>
        <w:t>. Nowhere in the New Testament</w:t>
      </w:r>
      <w:r w:rsidR="00BF77E2">
        <w:rPr>
          <w:lang w:val="en-US"/>
        </w:rPr>
        <w:t>,</w:t>
      </w:r>
      <w:r w:rsidR="00945599" w:rsidRPr="00682604">
        <w:rPr>
          <w:lang w:val="en-US"/>
        </w:rPr>
        <w:t xml:space="preserve"> </w:t>
      </w:r>
      <w:r w:rsidR="007C237B" w:rsidRPr="00682604">
        <w:rPr>
          <w:lang w:val="en-US"/>
        </w:rPr>
        <w:t xml:space="preserve">is the content of the work of the </w:t>
      </w:r>
      <w:proofErr w:type="spellStart"/>
      <w:r w:rsidR="007C237B" w:rsidRPr="00682604">
        <w:rPr>
          <w:lang w:val="en-US"/>
        </w:rPr>
        <w:t>δι</w:t>
      </w:r>
      <w:proofErr w:type="spellEnd"/>
      <w:r w:rsidR="007C237B" w:rsidRPr="00682604">
        <w:rPr>
          <w:lang w:val="en-US"/>
        </w:rPr>
        <w:t>ακόνοι</w:t>
      </w:r>
      <w:r w:rsidR="00BF77E2">
        <w:rPr>
          <w:lang w:val="en-US"/>
        </w:rPr>
        <w:t xml:space="preserve"> </w:t>
      </w:r>
      <w:r w:rsidR="00945599" w:rsidRPr="00682604">
        <w:rPr>
          <w:lang w:val="en-US"/>
        </w:rPr>
        <w:t>explicitly described.</w:t>
      </w:r>
      <w:r w:rsidR="00D17D9D">
        <w:rPr>
          <w:rStyle w:val="FootnoteReference"/>
          <w:lang w:val="en-US"/>
        </w:rPr>
        <w:footnoteReference w:id="2"/>
      </w:r>
      <w:r w:rsidR="00945599" w:rsidRPr="00682604">
        <w:rPr>
          <w:lang w:val="en-US"/>
        </w:rPr>
        <w:t xml:space="preserve"> </w:t>
      </w:r>
      <w:r w:rsidR="00945599" w:rsidRPr="00682604">
        <w:rPr>
          <w:lang w:val="en-US"/>
        </w:rPr>
        <w:lastRenderedPageBreak/>
        <w:t xml:space="preserve">The question is why the word </w:t>
      </w:r>
      <w:proofErr w:type="spellStart"/>
      <w:r w:rsidR="00945599" w:rsidRPr="00682604">
        <w:rPr>
          <w:lang w:val="en-US"/>
        </w:rPr>
        <w:t>δι</w:t>
      </w:r>
      <w:proofErr w:type="spellEnd"/>
      <w:r w:rsidR="00945599" w:rsidRPr="00682604">
        <w:rPr>
          <w:lang w:val="en-US"/>
        </w:rPr>
        <w:t xml:space="preserve">άκονος </w:t>
      </w:r>
      <w:r w:rsidR="00945599" w:rsidRPr="00682604">
        <w:rPr>
          <w:iCs/>
          <w:lang w:val="en-US"/>
        </w:rPr>
        <w:t xml:space="preserve">was used to designate these specific leaders. </w:t>
      </w:r>
      <w:r w:rsidR="0029560E">
        <w:rPr>
          <w:iCs/>
          <w:lang w:val="en-US"/>
        </w:rPr>
        <w:t>A p</w:t>
      </w:r>
      <w:r w:rsidR="00945599" w:rsidRPr="00682604">
        <w:rPr>
          <w:iCs/>
          <w:lang w:val="en-US"/>
        </w:rPr>
        <w:t>robabl</w:t>
      </w:r>
      <w:r w:rsidR="0029560E">
        <w:rPr>
          <w:iCs/>
          <w:lang w:val="en-US"/>
        </w:rPr>
        <w:t>e</w:t>
      </w:r>
      <w:r w:rsidR="00945599" w:rsidRPr="00682604">
        <w:rPr>
          <w:iCs/>
          <w:lang w:val="en-US"/>
        </w:rPr>
        <w:t xml:space="preserve"> answer to this question</w:t>
      </w:r>
      <w:r>
        <w:rPr>
          <w:iCs/>
          <w:lang w:val="en-US"/>
        </w:rPr>
        <w:t xml:space="preserve"> is </w:t>
      </w:r>
      <w:r w:rsidR="00945599" w:rsidRPr="00682604">
        <w:rPr>
          <w:iCs/>
          <w:lang w:val="en-US"/>
        </w:rPr>
        <w:t>that the very essence of what the leaders were doing</w:t>
      </w:r>
      <w:r w:rsidR="00A628CE" w:rsidRPr="00682604">
        <w:rPr>
          <w:iCs/>
          <w:lang w:val="en-US"/>
        </w:rPr>
        <w:t xml:space="preserve"> (their</w:t>
      </w:r>
      <w:r w:rsidR="00A628CE" w:rsidRPr="00682604">
        <w:rPr>
          <w:lang w:val="en-US"/>
        </w:rPr>
        <w:t xml:space="preserve"> </w:t>
      </w:r>
      <w:proofErr w:type="spellStart"/>
      <w:r w:rsidR="00A628CE" w:rsidRPr="00682604">
        <w:rPr>
          <w:lang w:val="en-US"/>
        </w:rPr>
        <w:t>δι</w:t>
      </w:r>
      <w:proofErr w:type="spellEnd"/>
      <w:r w:rsidR="00A628CE" w:rsidRPr="00682604">
        <w:rPr>
          <w:lang w:val="en-US"/>
        </w:rPr>
        <w:t>ακονία)</w:t>
      </w:r>
      <w:r w:rsidR="00A628CE" w:rsidRPr="00682604">
        <w:rPr>
          <w:iCs/>
          <w:lang w:val="en-US"/>
        </w:rPr>
        <w:t xml:space="preserve"> </w:t>
      </w:r>
      <w:r>
        <w:rPr>
          <w:iCs/>
          <w:lang w:val="en-US"/>
        </w:rPr>
        <w:t>is</w:t>
      </w:r>
      <w:r w:rsidR="00945599" w:rsidRPr="00682604">
        <w:rPr>
          <w:iCs/>
          <w:lang w:val="en-US"/>
        </w:rPr>
        <w:t xml:space="preserve"> expressed by the semantic content of the </w:t>
      </w:r>
      <w:proofErr w:type="spellStart"/>
      <w:r w:rsidR="00945599" w:rsidRPr="00682604">
        <w:rPr>
          <w:lang w:val="en-US"/>
        </w:rPr>
        <w:t>δι</w:t>
      </w:r>
      <w:proofErr w:type="spellEnd"/>
      <w:r w:rsidR="00945599" w:rsidRPr="00682604">
        <w:rPr>
          <w:lang w:val="en-US"/>
        </w:rPr>
        <w:t>άκον- word group</w:t>
      </w:r>
      <w:r w:rsidR="00711805" w:rsidRPr="00682604">
        <w:rPr>
          <w:lang w:val="en-US"/>
        </w:rPr>
        <w:t>.</w:t>
      </w:r>
      <w:r w:rsidR="00C10F02" w:rsidRPr="00682604">
        <w:rPr>
          <w:rStyle w:val="FootnoteReference"/>
          <w:rFonts w:ascii="Arial" w:hAnsi="Arial"/>
          <w:lang w:val="en-US"/>
        </w:rPr>
        <w:footnoteReference w:id="3"/>
      </w:r>
      <w:r w:rsidR="00711805" w:rsidRPr="00682604">
        <w:rPr>
          <w:lang w:val="en-US"/>
        </w:rPr>
        <w:t xml:space="preserve"> Collins </w:t>
      </w:r>
      <w:r w:rsidR="00945599" w:rsidRPr="00682604">
        <w:rPr>
          <w:lang w:val="en-US"/>
        </w:rPr>
        <w:t xml:space="preserve">points out that a special meaning was attributed to the original Greek word </w:t>
      </w:r>
      <w:proofErr w:type="spellStart"/>
      <w:r w:rsidR="00945599" w:rsidRPr="00682604">
        <w:rPr>
          <w:lang w:val="en-US"/>
        </w:rPr>
        <w:t>δι</w:t>
      </w:r>
      <w:proofErr w:type="spellEnd"/>
      <w:r w:rsidR="00945599" w:rsidRPr="00682604">
        <w:rPr>
          <w:lang w:val="en-US"/>
        </w:rPr>
        <w:t>άκονος</w:t>
      </w:r>
      <w:r w:rsidR="00945599" w:rsidRPr="00682604">
        <w:rPr>
          <w:iCs/>
          <w:lang w:val="en-US"/>
        </w:rPr>
        <w:t xml:space="preserve">; it was therefore retained when the Bible was translated into other languages. He says that all the other words in the </w:t>
      </w:r>
      <w:proofErr w:type="spellStart"/>
      <w:r w:rsidR="00945599" w:rsidRPr="00682604">
        <w:rPr>
          <w:lang w:val="en-US"/>
        </w:rPr>
        <w:t>δι</w:t>
      </w:r>
      <w:proofErr w:type="spellEnd"/>
      <w:r w:rsidR="00945599" w:rsidRPr="00682604">
        <w:rPr>
          <w:lang w:val="en-US"/>
        </w:rPr>
        <w:t>άκον</w:t>
      </w:r>
      <w:r w:rsidR="00945599" w:rsidRPr="00682604">
        <w:rPr>
          <w:iCs/>
          <w:lang w:val="en-US"/>
        </w:rPr>
        <w:t>-</w:t>
      </w:r>
      <w:r w:rsidR="00945599" w:rsidRPr="00682604">
        <w:rPr>
          <w:lang w:val="en-US"/>
        </w:rPr>
        <w:t xml:space="preserve"> wor</w:t>
      </w:r>
      <w:r w:rsidR="00E77AF6">
        <w:rPr>
          <w:lang w:val="en-US"/>
        </w:rPr>
        <w:t>d group were translated by words of the new language</w:t>
      </w:r>
      <w:r w:rsidR="00945599" w:rsidRPr="00682604">
        <w:rPr>
          <w:lang w:val="en-US"/>
        </w:rPr>
        <w:t>, but that</w:t>
      </w:r>
      <w:r w:rsidR="00092239">
        <w:rPr>
          <w:lang w:val="en-US"/>
        </w:rPr>
        <w:t xml:space="preserve"> “</w:t>
      </w:r>
      <w:r w:rsidR="00945599" w:rsidRPr="00682604">
        <w:rPr>
          <w:lang w:val="en-US"/>
        </w:rPr>
        <w:t>the word deacon was clearl</w:t>
      </w:r>
      <w:r w:rsidR="00711805" w:rsidRPr="00682604">
        <w:rPr>
          <w:lang w:val="en-US"/>
        </w:rPr>
        <w:t xml:space="preserve">y a special </w:t>
      </w:r>
      <w:r w:rsidR="00092239" w:rsidRPr="00682604">
        <w:rPr>
          <w:lang w:val="en-US"/>
        </w:rPr>
        <w:t>case</w:t>
      </w:r>
      <w:r w:rsidR="00092239">
        <w:rPr>
          <w:lang w:val="en-US"/>
        </w:rPr>
        <w:t>”</w:t>
      </w:r>
      <w:r w:rsidR="00945599" w:rsidRPr="00682604">
        <w:rPr>
          <w:lang w:val="en-US"/>
        </w:rPr>
        <w:t>.</w:t>
      </w:r>
      <w:r w:rsidR="004948C8" w:rsidRPr="00682604">
        <w:rPr>
          <w:rStyle w:val="FootnoteReference"/>
          <w:rFonts w:ascii="Arial" w:hAnsi="Arial"/>
          <w:iCs/>
          <w:lang w:val="en-US"/>
        </w:rPr>
        <w:footnoteReference w:id="4"/>
      </w:r>
    </w:p>
    <w:p w14:paraId="51859028" w14:textId="64140B44" w:rsidR="002B07DF" w:rsidRDefault="00945599" w:rsidP="008E78AF">
      <w:pPr>
        <w:rPr>
          <w:lang w:val="en-US"/>
        </w:rPr>
      </w:pPr>
      <w:r w:rsidRPr="00426A4C">
        <w:rPr>
          <w:lang w:val="en-US"/>
        </w:rPr>
        <w:t>The working hypothesis of</w:t>
      </w:r>
      <w:r w:rsidRPr="00682604">
        <w:rPr>
          <w:lang w:val="en-US"/>
        </w:rPr>
        <w:t xml:space="preserve"> this </w:t>
      </w:r>
      <w:r w:rsidR="00426A4C">
        <w:rPr>
          <w:lang w:val="en-US"/>
        </w:rPr>
        <w:t>article</w:t>
      </w:r>
      <w:r w:rsidR="00201E81">
        <w:rPr>
          <w:lang w:val="en-US"/>
        </w:rPr>
        <w:t xml:space="preserve"> is that the deacons</w:t>
      </w:r>
      <w:r w:rsidRPr="00682604">
        <w:rPr>
          <w:lang w:val="en-US"/>
        </w:rPr>
        <w:t xml:space="preserve"> </w:t>
      </w:r>
      <w:r w:rsidR="00A47ADE">
        <w:rPr>
          <w:iCs/>
          <w:lang w:val="en-US"/>
        </w:rPr>
        <w:t>were</w:t>
      </w:r>
      <w:r w:rsidRPr="00682604">
        <w:rPr>
          <w:iCs/>
          <w:lang w:val="en-US"/>
        </w:rPr>
        <w:t xml:space="preserve"> called such because they were leaders in the </w:t>
      </w:r>
      <w:proofErr w:type="spellStart"/>
      <w:r w:rsidRPr="00682604">
        <w:rPr>
          <w:lang w:val="en-US"/>
        </w:rPr>
        <w:t>δι</w:t>
      </w:r>
      <w:proofErr w:type="spellEnd"/>
      <w:r w:rsidRPr="00682604">
        <w:rPr>
          <w:lang w:val="en-US"/>
        </w:rPr>
        <w:t xml:space="preserve">ακονία. </w:t>
      </w:r>
      <w:r w:rsidR="002B07DF">
        <w:rPr>
          <w:lang w:val="en-US"/>
        </w:rPr>
        <w:t xml:space="preserve">The first step to determine the essence and content of the work of the deacon could be to firstly determine the essence and content of the work of a </w:t>
      </w:r>
      <w:proofErr w:type="spellStart"/>
      <w:r w:rsidR="002B07DF" w:rsidRPr="002B07DF">
        <w:rPr>
          <w:lang w:val="en-US"/>
        </w:rPr>
        <w:t>δι</w:t>
      </w:r>
      <w:proofErr w:type="spellEnd"/>
      <w:r w:rsidR="002B07DF" w:rsidRPr="002B07DF">
        <w:rPr>
          <w:lang w:val="en-US"/>
        </w:rPr>
        <w:t>άκονος</w:t>
      </w:r>
      <w:r w:rsidR="002B07DF">
        <w:rPr>
          <w:lang w:val="en-US"/>
        </w:rPr>
        <w:t xml:space="preserve"> in general according to the New Testament. Further study can then build on these results to investigate the task of the leader </w:t>
      </w:r>
      <w:proofErr w:type="spellStart"/>
      <w:r w:rsidR="002B07DF" w:rsidRPr="002B07DF">
        <w:rPr>
          <w:lang w:val="en-US"/>
        </w:rPr>
        <w:t>δι</w:t>
      </w:r>
      <w:proofErr w:type="spellEnd"/>
      <w:r w:rsidR="002B07DF" w:rsidRPr="002B07DF">
        <w:rPr>
          <w:lang w:val="en-US"/>
        </w:rPr>
        <w:t>άκονος</w:t>
      </w:r>
      <w:r w:rsidR="002B07DF">
        <w:rPr>
          <w:lang w:val="en-US"/>
        </w:rPr>
        <w:t>.</w:t>
      </w:r>
    </w:p>
    <w:p w14:paraId="7E9F712F" w14:textId="5C394274" w:rsidR="002B07DF" w:rsidRDefault="00426A4C" w:rsidP="008E78AF">
      <w:pPr>
        <w:rPr>
          <w:lang w:val="en-US"/>
        </w:rPr>
      </w:pPr>
      <w:r>
        <w:rPr>
          <w:lang w:val="en-US"/>
        </w:rPr>
        <w:t>Parts</w:t>
      </w:r>
      <w:r w:rsidR="0093376F" w:rsidRPr="00682604">
        <w:rPr>
          <w:lang w:val="en-US"/>
        </w:rPr>
        <w:t xml:space="preserve"> of </w:t>
      </w:r>
      <w:r>
        <w:rPr>
          <w:lang w:val="en-US"/>
        </w:rPr>
        <w:t>the New Testament</w:t>
      </w:r>
      <w:r w:rsidR="0093376F" w:rsidRPr="00682604">
        <w:rPr>
          <w:lang w:val="en-US"/>
        </w:rPr>
        <w:t xml:space="preserve"> where the </w:t>
      </w:r>
      <w:proofErr w:type="spellStart"/>
      <w:r w:rsidR="0093376F" w:rsidRPr="00682604">
        <w:rPr>
          <w:lang w:val="en-US"/>
        </w:rPr>
        <w:t>δι</w:t>
      </w:r>
      <w:proofErr w:type="spellEnd"/>
      <w:r w:rsidR="0093376F" w:rsidRPr="00682604">
        <w:rPr>
          <w:lang w:val="en-US"/>
        </w:rPr>
        <w:t>άκον</w:t>
      </w:r>
      <w:r w:rsidR="0093376F" w:rsidRPr="00682604">
        <w:rPr>
          <w:iCs/>
          <w:lang w:val="en-US"/>
        </w:rPr>
        <w:t>-</w:t>
      </w:r>
      <w:r w:rsidR="0093376F" w:rsidRPr="00682604">
        <w:rPr>
          <w:lang w:val="en-US"/>
        </w:rPr>
        <w:t xml:space="preserve"> word group is </w:t>
      </w:r>
      <w:r w:rsidR="007C237B" w:rsidRPr="00682604">
        <w:rPr>
          <w:lang w:val="en-US"/>
        </w:rPr>
        <w:t>used</w:t>
      </w:r>
      <w:r w:rsidR="007C237B">
        <w:rPr>
          <w:rStyle w:val="CommentReference"/>
        </w:rPr>
        <w:t xml:space="preserve"> </w:t>
      </w:r>
      <w:r w:rsidR="007C237B" w:rsidRPr="00682604">
        <w:rPr>
          <w:lang w:val="en-US"/>
        </w:rPr>
        <w:t>will</w:t>
      </w:r>
      <w:r w:rsidR="0093376F" w:rsidRPr="00682604">
        <w:rPr>
          <w:lang w:val="en-US"/>
        </w:rPr>
        <w:t xml:space="preserve"> be investigated </w:t>
      </w:r>
      <w:r w:rsidR="00945599" w:rsidRPr="00682604">
        <w:rPr>
          <w:lang w:val="en-US"/>
        </w:rPr>
        <w:t>to</w:t>
      </w:r>
      <w:r w:rsidR="006A4F53" w:rsidRPr="00682604">
        <w:rPr>
          <w:lang w:val="en-US"/>
        </w:rPr>
        <w:t xml:space="preserve"> </w:t>
      </w:r>
      <w:r w:rsidR="00945599" w:rsidRPr="00682604">
        <w:rPr>
          <w:lang w:val="en-US"/>
        </w:rPr>
        <w:t xml:space="preserve">formulate a theory on the task of the </w:t>
      </w:r>
      <w:proofErr w:type="spellStart"/>
      <w:r w:rsidR="00945599" w:rsidRPr="00682604">
        <w:rPr>
          <w:lang w:val="en-US"/>
        </w:rPr>
        <w:t>δι</w:t>
      </w:r>
      <w:proofErr w:type="spellEnd"/>
      <w:r w:rsidR="00945599" w:rsidRPr="00682604">
        <w:rPr>
          <w:lang w:val="en-US"/>
        </w:rPr>
        <w:t>άκονος</w:t>
      </w:r>
      <w:r>
        <w:rPr>
          <w:lang w:val="en-US"/>
        </w:rPr>
        <w:t>.</w:t>
      </w:r>
      <w:r w:rsidR="00945599" w:rsidRPr="00682604">
        <w:rPr>
          <w:lang w:val="en-US"/>
        </w:rPr>
        <w:t xml:space="preserve"> </w:t>
      </w:r>
      <w:r w:rsidR="00440E93">
        <w:rPr>
          <w:lang w:val="en-US"/>
        </w:rPr>
        <w:t xml:space="preserve">The history of the essence and content of the service of the deacon </w:t>
      </w:r>
      <w:r w:rsidR="007930CA">
        <w:rPr>
          <w:lang w:val="en-US"/>
        </w:rPr>
        <w:t xml:space="preserve">as </w:t>
      </w:r>
      <w:r w:rsidR="001F7300">
        <w:rPr>
          <w:lang w:val="en-US"/>
        </w:rPr>
        <w:t xml:space="preserve">it has been </w:t>
      </w:r>
      <w:r w:rsidR="007930CA">
        <w:rPr>
          <w:lang w:val="en-US"/>
        </w:rPr>
        <w:t xml:space="preserve">formulated in different times and denominations </w:t>
      </w:r>
      <w:r w:rsidR="00440E93">
        <w:rPr>
          <w:lang w:val="en-US"/>
        </w:rPr>
        <w:t>cannot be discuss</w:t>
      </w:r>
      <w:r w:rsidR="007C504D">
        <w:rPr>
          <w:lang w:val="en-US"/>
        </w:rPr>
        <w:t>ed</w:t>
      </w:r>
      <w:r w:rsidR="00440E93">
        <w:rPr>
          <w:lang w:val="en-US"/>
        </w:rPr>
        <w:t xml:space="preserve"> in the space of this article.</w:t>
      </w:r>
      <w:r w:rsidR="00440E93">
        <w:rPr>
          <w:rStyle w:val="FootnoteReference"/>
          <w:lang w:val="en-US"/>
        </w:rPr>
        <w:footnoteReference w:id="5"/>
      </w:r>
      <w:r w:rsidR="00B83718">
        <w:rPr>
          <w:lang w:val="en-US"/>
        </w:rPr>
        <w:t xml:space="preserve"> </w:t>
      </w:r>
      <w:r w:rsidR="007C504D">
        <w:rPr>
          <w:lang w:val="en-US"/>
        </w:rPr>
        <w:t xml:space="preserve">The aim </w:t>
      </w:r>
      <w:r w:rsidR="0094278F">
        <w:rPr>
          <w:lang w:val="en-US"/>
        </w:rPr>
        <w:t>here</w:t>
      </w:r>
      <w:r w:rsidR="007C504D">
        <w:rPr>
          <w:lang w:val="en-US"/>
        </w:rPr>
        <w:t xml:space="preserve"> is </w:t>
      </w:r>
      <w:r w:rsidR="00BF77E2">
        <w:rPr>
          <w:lang w:val="en-US"/>
        </w:rPr>
        <w:t>primarily</w:t>
      </w:r>
      <w:r w:rsidR="00B83718">
        <w:rPr>
          <w:lang w:val="en-US"/>
        </w:rPr>
        <w:t xml:space="preserve"> to </w:t>
      </w:r>
      <w:r w:rsidR="0029560E">
        <w:rPr>
          <w:lang w:val="en-US"/>
        </w:rPr>
        <w:t xml:space="preserve">determine </w:t>
      </w:r>
      <w:r w:rsidR="007C504D">
        <w:rPr>
          <w:lang w:val="en-US"/>
        </w:rPr>
        <w:t xml:space="preserve">what </w:t>
      </w:r>
      <w:r w:rsidR="0029560E">
        <w:rPr>
          <w:lang w:val="en-US"/>
        </w:rPr>
        <w:t xml:space="preserve">the </w:t>
      </w:r>
      <w:r w:rsidR="0094278F" w:rsidRPr="00862B38">
        <w:rPr>
          <w:lang w:val="en-US"/>
        </w:rPr>
        <w:t xml:space="preserve">general </w:t>
      </w:r>
      <w:r w:rsidR="0029560E" w:rsidRPr="00862B38">
        <w:rPr>
          <w:lang w:val="en-US"/>
        </w:rPr>
        <w:t>task</w:t>
      </w:r>
      <w:r w:rsidR="0029560E">
        <w:rPr>
          <w:lang w:val="en-US"/>
        </w:rPr>
        <w:t xml:space="preserve"> of </w:t>
      </w:r>
      <w:r w:rsidR="0094278F">
        <w:rPr>
          <w:lang w:val="en-US"/>
        </w:rPr>
        <w:t xml:space="preserve">all believers </w:t>
      </w:r>
      <w:r w:rsidR="00785D42">
        <w:rPr>
          <w:lang w:val="en-US"/>
        </w:rPr>
        <w:t>was</w:t>
      </w:r>
      <w:r w:rsidR="0094278F">
        <w:rPr>
          <w:lang w:val="en-US"/>
        </w:rPr>
        <w:t xml:space="preserve"> in their capacity as </w:t>
      </w:r>
      <w:proofErr w:type="spellStart"/>
      <w:r w:rsidR="0029560E" w:rsidRPr="00682604">
        <w:rPr>
          <w:lang w:val="en-US"/>
        </w:rPr>
        <w:t>δι</w:t>
      </w:r>
      <w:proofErr w:type="spellEnd"/>
      <w:r w:rsidR="0029560E" w:rsidRPr="00682604">
        <w:rPr>
          <w:lang w:val="en-US"/>
        </w:rPr>
        <w:t>άκονος</w:t>
      </w:r>
      <w:r w:rsidR="00DA07AD">
        <w:rPr>
          <w:lang w:val="en-US"/>
        </w:rPr>
        <w:t>,</w:t>
      </w:r>
      <w:r w:rsidR="0029560E">
        <w:rPr>
          <w:lang w:val="en-US"/>
        </w:rPr>
        <w:t xml:space="preserve"> and not </w:t>
      </w:r>
      <w:r w:rsidR="00DA07AD">
        <w:rPr>
          <w:lang w:val="en-US"/>
        </w:rPr>
        <w:t>necessarily</w:t>
      </w:r>
      <w:r w:rsidR="0029560E">
        <w:rPr>
          <w:lang w:val="en-US"/>
        </w:rPr>
        <w:t xml:space="preserve"> </w:t>
      </w:r>
      <w:r w:rsidR="00785D42">
        <w:rPr>
          <w:lang w:val="en-US"/>
        </w:rPr>
        <w:t xml:space="preserve">what </w:t>
      </w:r>
      <w:r w:rsidR="00A9414C">
        <w:rPr>
          <w:lang w:val="en-US"/>
        </w:rPr>
        <w:t>the</w:t>
      </w:r>
      <w:r w:rsidR="007C504D">
        <w:rPr>
          <w:lang w:val="en-US"/>
        </w:rPr>
        <w:t xml:space="preserve"> </w:t>
      </w:r>
      <w:r w:rsidR="0094278F">
        <w:rPr>
          <w:lang w:val="en-US"/>
        </w:rPr>
        <w:t>task of</w:t>
      </w:r>
      <w:r w:rsidR="0029560E">
        <w:rPr>
          <w:lang w:val="en-US"/>
        </w:rPr>
        <w:t xml:space="preserve"> the leader-</w:t>
      </w:r>
      <w:proofErr w:type="spellStart"/>
      <w:r w:rsidR="0029560E" w:rsidRPr="00682604">
        <w:rPr>
          <w:lang w:val="en-US"/>
        </w:rPr>
        <w:t>δι</w:t>
      </w:r>
      <w:proofErr w:type="spellEnd"/>
      <w:r w:rsidR="0029560E" w:rsidRPr="00682604">
        <w:rPr>
          <w:lang w:val="en-US"/>
        </w:rPr>
        <w:t>άκονος</w:t>
      </w:r>
      <w:r w:rsidR="00785D42">
        <w:rPr>
          <w:lang w:val="en-US"/>
        </w:rPr>
        <w:t xml:space="preserve"> was</w:t>
      </w:r>
      <w:r w:rsidR="001274AD">
        <w:rPr>
          <w:lang w:val="en-US"/>
        </w:rPr>
        <w:t xml:space="preserve">. </w:t>
      </w:r>
      <w:r w:rsidR="0094278F">
        <w:rPr>
          <w:lang w:val="en-US"/>
        </w:rPr>
        <w:t xml:space="preserve">The </w:t>
      </w:r>
      <w:r w:rsidR="00B83718">
        <w:rPr>
          <w:lang w:val="en-US"/>
        </w:rPr>
        <w:t xml:space="preserve">results of this study </w:t>
      </w:r>
      <w:r w:rsidR="00A9414C">
        <w:rPr>
          <w:lang w:val="en-US"/>
        </w:rPr>
        <w:t>could probably</w:t>
      </w:r>
      <w:r w:rsidR="00B83718">
        <w:rPr>
          <w:lang w:val="en-US"/>
        </w:rPr>
        <w:t xml:space="preserve"> be useful </w:t>
      </w:r>
      <w:r w:rsidR="00A9414C">
        <w:rPr>
          <w:lang w:val="en-US"/>
        </w:rPr>
        <w:t>in</w:t>
      </w:r>
      <w:r w:rsidR="0029560E">
        <w:rPr>
          <w:lang w:val="en-US"/>
        </w:rPr>
        <w:t xml:space="preserve"> further stud</w:t>
      </w:r>
      <w:r w:rsidR="00A9414C">
        <w:rPr>
          <w:lang w:val="en-US"/>
        </w:rPr>
        <w:t>ies</w:t>
      </w:r>
      <w:r w:rsidR="0029560E">
        <w:rPr>
          <w:lang w:val="en-US"/>
        </w:rPr>
        <w:t xml:space="preserve"> </w:t>
      </w:r>
      <w:r w:rsidR="00A9414C">
        <w:rPr>
          <w:lang w:val="en-US"/>
        </w:rPr>
        <w:t>of</w:t>
      </w:r>
      <w:r w:rsidR="0029560E">
        <w:rPr>
          <w:lang w:val="en-US"/>
        </w:rPr>
        <w:t xml:space="preserve"> the use of the </w:t>
      </w:r>
      <w:proofErr w:type="spellStart"/>
      <w:r w:rsidR="0029560E">
        <w:rPr>
          <w:lang w:val="en-US"/>
        </w:rPr>
        <w:t>δι</w:t>
      </w:r>
      <w:proofErr w:type="spellEnd"/>
      <w:r w:rsidR="0029560E">
        <w:rPr>
          <w:lang w:val="en-US"/>
        </w:rPr>
        <w:t xml:space="preserve">άκον- words </w:t>
      </w:r>
      <w:r w:rsidR="00B83718">
        <w:rPr>
          <w:lang w:val="en-US"/>
        </w:rPr>
        <w:t xml:space="preserve">in the New Testament to </w:t>
      </w:r>
      <w:r w:rsidR="008E78AF">
        <w:rPr>
          <w:lang w:val="en-US"/>
        </w:rPr>
        <w:t>determine</w:t>
      </w:r>
      <w:r w:rsidR="00B83718">
        <w:rPr>
          <w:lang w:val="en-US"/>
        </w:rPr>
        <w:t xml:space="preserve"> the task of</w:t>
      </w:r>
      <w:r w:rsidR="0029560E">
        <w:rPr>
          <w:lang w:val="en-US"/>
        </w:rPr>
        <w:t xml:space="preserve"> leaders in th</w:t>
      </w:r>
      <w:r w:rsidR="00B83718">
        <w:rPr>
          <w:lang w:val="en-US"/>
        </w:rPr>
        <w:t>e congregation</w:t>
      </w:r>
      <w:r w:rsidR="00777A1F">
        <w:rPr>
          <w:lang w:val="en-US"/>
        </w:rPr>
        <w:t>. From the integration of such study results and the results of this study</w:t>
      </w:r>
      <w:r w:rsidR="00785D42">
        <w:rPr>
          <w:lang w:val="en-US"/>
        </w:rPr>
        <w:t>,</w:t>
      </w:r>
      <w:r w:rsidR="00777A1F">
        <w:rPr>
          <w:lang w:val="en-US"/>
        </w:rPr>
        <w:t xml:space="preserve"> it </w:t>
      </w:r>
      <w:r w:rsidR="008E78AF">
        <w:rPr>
          <w:lang w:val="en-US"/>
        </w:rPr>
        <w:t>might</w:t>
      </w:r>
      <w:r w:rsidR="00777A1F">
        <w:rPr>
          <w:lang w:val="en-US"/>
        </w:rPr>
        <w:t xml:space="preserve"> be possible to </w:t>
      </w:r>
      <w:r w:rsidR="008E78AF">
        <w:rPr>
          <w:lang w:val="en-US"/>
        </w:rPr>
        <w:t>give a clearer indication of</w:t>
      </w:r>
      <w:r w:rsidR="00777A1F">
        <w:rPr>
          <w:lang w:val="en-US"/>
        </w:rPr>
        <w:t xml:space="preserve"> the task of the deacon according to the New Testament </w:t>
      </w:r>
      <w:r w:rsidR="00785D42">
        <w:rPr>
          <w:lang w:val="en-US"/>
        </w:rPr>
        <w:t>and apply the findings</w:t>
      </w:r>
      <w:r w:rsidR="00777A1F">
        <w:rPr>
          <w:lang w:val="en-US"/>
        </w:rPr>
        <w:t xml:space="preserve"> in congregations today. </w:t>
      </w:r>
    </w:p>
    <w:p w14:paraId="265D7779" w14:textId="28B68F2D" w:rsidR="00777A1F" w:rsidRPr="00682604" w:rsidRDefault="008E78AF" w:rsidP="008E78AF">
      <w:pPr>
        <w:rPr>
          <w:lang w:val="en-US"/>
        </w:rPr>
      </w:pPr>
      <w:r>
        <w:rPr>
          <w:lang w:val="en-US"/>
        </w:rPr>
        <w:lastRenderedPageBreak/>
        <w:t>A valid question is</w:t>
      </w:r>
      <w:r w:rsidR="00777A1F" w:rsidRPr="00682604">
        <w:rPr>
          <w:lang w:val="en-US"/>
        </w:rPr>
        <w:t xml:space="preserve"> if it is possible to establish the </w:t>
      </w:r>
      <w:proofErr w:type="spellStart"/>
      <w:r w:rsidR="00777A1F" w:rsidRPr="00682604">
        <w:rPr>
          <w:lang w:val="en-US"/>
        </w:rPr>
        <w:t>δι</w:t>
      </w:r>
      <w:proofErr w:type="spellEnd"/>
      <w:r w:rsidR="00777A1F" w:rsidRPr="00682604">
        <w:rPr>
          <w:lang w:val="en-US"/>
        </w:rPr>
        <w:t xml:space="preserve">ακονία of the deacon from the study of the </w:t>
      </w:r>
      <w:proofErr w:type="spellStart"/>
      <w:r w:rsidR="00777A1F" w:rsidRPr="00682604">
        <w:rPr>
          <w:lang w:val="en-US"/>
        </w:rPr>
        <w:t>δι</w:t>
      </w:r>
      <w:proofErr w:type="spellEnd"/>
      <w:r w:rsidR="00777A1F" w:rsidRPr="00682604">
        <w:rPr>
          <w:lang w:val="en-US"/>
        </w:rPr>
        <w:t>άκον- word group. Avis</w:t>
      </w:r>
      <w:r w:rsidR="00777A1F">
        <w:rPr>
          <w:rStyle w:val="FootnoteReference"/>
          <w:lang w:val="en-US"/>
        </w:rPr>
        <w:footnoteReference w:id="6"/>
      </w:r>
      <w:r w:rsidR="00777A1F" w:rsidRPr="00682604">
        <w:rPr>
          <w:lang w:val="en-US"/>
        </w:rPr>
        <w:t xml:space="preserve"> and Shack</w:t>
      </w:r>
      <w:r w:rsidR="00777A1F">
        <w:rPr>
          <w:rStyle w:val="FootnoteReference"/>
          <w:lang w:val="en-US"/>
        </w:rPr>
        <w:footnoteReference w:id="7"/>
      </w:r>
      <w:r w:rsidR="00777A1F" w:rsidRPr="00682604">
        <w:rPr>
          <w:lang w:val="en-US"/>
        </w:rPr>
        <w:t xml:space="preserve"> motivate the possibility </w:t>
      </w:r>
      <w:r w:rsidR="00777A1F">
        <w:rPr>
          <w:lang w:val="en-US"/>
        </w:rPr>
        <w:t>of</w:t>
      </w:r>
      <w:r w:rsidR="00777A1F" w:rsidRPr="00682604">
        <w:rPr>
          <w:lang w:val="en-US"/>
        </w:rPr>
        <w:t xml:space="preserve"> accomplishing this goa</w:t>
      </w:r>
      <w:r w:rsidR="00777A1F">
        <w:rPr>
          <w:lang w:val="en-US"/>
        </w:rPr>
        <w:t xml:space="preserve">l. </w:t>
      </w:r>
      <w:r w:rsidR="00777A1F" w:rsidRPr="00682604">
        <w:rPr>
          <w:lang w:val="en-US"/>
        </w:rPr>
        <w:t>Avis says:</w:t>
      </w:r>
    </w:p>
    <w:p w14:paraId="6ABD2A95" w14:textId="34EA0CC2" w:rsidR="00777A1F" w:rsidRPr="00682604" w:rsidRDefault="00777A1F" w:rsidP="00777A1F">
      <w:pPr>
        <w:ind w:left="284" w:right="284"/>
        <w:rPr>
          <w:lang w:val="en-US"/>
        </w:rPr>
      </w:pPr>
      <w:r w:rsidRPr="00682604">
        <w:rPr>
          <w:lang w:val="en-US"/>
        </w:rPr>
        <w:t xml:space="preserve">The New Testament provides neither precept nor precedent that fills in the content of diaconal ministry, what we do have is examples of the actual usage of </w:t>
      </w:r>
      <w:proofErr w:type="spellStart"/>
      <w:r w:rsidRPr="00682604">
        <w:rPr>
          <w:lang w:val="en-US"/>
        </w:rPr>
        <w:t>δι</w:t>
      </w:r>
      <w:proofErr w:type="spellEnd"/>
      <w:r w:rsidRPr="00682604">
        <w:rPr>
          <w:lang w:val="en-US"/>
        </w:rPr>
        <w:t xml:space="preserve">άκον- words in the Gospels, the Acts of the Apostles and the Pauline letters. How can the Church relate to this usage, how can it connect with it? ... </w:t>
      </w:r>
      <w:r w:rsidR="007C237B" w:rsidRPr="00682604">
        <w:rPr>
          <w:lang w:val="en-US"/>
        </w:rPr>
        <w:t xml:space="preserve">To have integrity our own use of </w:t>
      </w:r>
      <w:proofErr w:type="spellStart"/>
      <w:r w:rsidR="007C237B" w:rsidRPr="00682604">
        <w:rPr>
          <w:lang w:val="en-US"/>
        </w:rPr>
        <w:t>δι</w:t>
      </w:r>
      <w:proofErr w:type="spellEnd"/>
      <w:r w:rsidR="007C237B" w:rsidRPr="00682604">
        <w:rPr>
          <w:lang w:val="en-US"/>
        </w:rPr>
        <w:t xml:space="preserve">άκονος and </w:t>
      </w:r>
      <w:proofErr w:type="spellStart"/>
      <w:r w:rsidR="007C237B" w:rsidRPr="00682604">
        <w:rPr>
          <w:lang w:val="en-US"/>
        </w:rPr>
        <w:t>δι</w:t>
      </w:r>
      <w:proofErr w:type="spellEnd"/>
      <w:r w:rsidR="007C237B" w:rsidRPr="00682604">
        <w:rPr>
          <w:lang w:val="en-US"/>
        </w:rPr>
        <w:t>ακονία should be consonant with New Testament usage of those terms; it should resonate with it and be empowered by it.</w:t>
      </w:r>
      <w:r w:rsidR="007C237B" w:rsidRPr="00682604">
        <w:rPr>
          <w:rStyle w:val="FootnoteReference"/>
          <w:rFonts w:ascii="Arial" w:hAnsi="Arial"/>
          <w:lang w:val="en-US"/>
        </w:rPr>
        <w:footnoteReference w:id="8"/>
      </w:r>
      <w:r w:rsidR="007C237B" w:rsidRPr="00682604">
        <w:rPr>
          <w:lang w:val="en-US"/>
        </w:rPr>
        <w:t xml:space="preserve"> </w:t>
      </w:r>
    </w:p>
    <w:p w14:paraId="703F4FD2" w14:textId="0E2E628B" w:rsidR="00945599" w:rsidRPr="00682604" w:rsidRDefault="00777A1F" w:rsidP="008E78AF">
      <w:pPr>
        <w:rPr>
          <w:lang w:val="en-US"/>
        </w:rPr>
      </w:pPr>
      <w:r w:rsidRPr="00682604">
        <w:rPr>
          <w:lang w:val="en-US"/>
        </w:rPr>
        <w:t xml:space="preserve">Shack </w:t>
      </w:r>
      <w:r w:rsidR="00F87E4D">
        <w:rPr>
          <w:lang w:val="en-US"/>
        </w:rPr>
        <w:t xml:space="preserve">also </w:t>
      </w:r>
      <w:r w:rsidRPr="00682604">
        <w:rPr>
          <w:lang w:val="en-US"/>
        </w:rPr>
        <w:t xml:space="preserve">investigates the use of the </w:t>
      </w:r>
      <w:proofErr w:type="spellStart"/>
      <w:r w:rsidRPr="00682604">
        <w:rPr>
          <w:lang w:val="en-US"/>
        </w:rPr>
        <w:t>δι</w:t>
      </w:r>
      <w:proofErr w:type="spellEnd"/>
      <w:r w:rsidRPr="00682604">
        <w:rPr>
          <w:lang w:val="en-US"/>
        </w:rPr>
        <w:t>άκον- word group in the New Testament to establish the task of the deacon today.</w:t>
      </w:r>
      <w:r w:rsidRPr="00682604">
        <w:rPr>
          <w:rStyle w:val="FootnoteReference"/>
          <w:rFonts w:ascii="Arial" w:hAnsi="Arial"/>
          <w:lang w:val="en-US"/>
        </w:rPr>
        <w:footnoteReference w:id="9"/>
      </w:r>
    </w:p>
    <w:p w14:paraId="5FF860DB" w14:textId="7FC416BC" w:rsidR="00945599" w:rsidRPr="00682604" w:rsidRDefault="00945599" w:rsidP="00023A0E">
      <w:pPr>
        <w:rPr>
          <w:lang w:val="en-US"/>
        </w:rPr>
      </w:pPr>
      <w:proofErr w:type="spellStart"/>
      <w:r w:rsidRPr="00B13483">
        <w:rPr>
          <w:lang w:val="en-US"/>
        </w:rPr>
        <w:t>Louw</w:t>
      </w:r>
      <w:proofErr w:type="spellEnd"/>
      <w:r w:rsidRPr="00B13483">
        <w:rPr>
          <w:lang w:val="en-US"/>
        </w:rPr>
        <w:t xml:space="preserve"> and </w:t>
      </w:r>
      <w:proofErr w:type="spellStart"/>
      <w:r w:rsidRPr="00B13483">
        <w:rPr>
          <w:lang w:val="en-US"/>
        </w:rPr>
        <w:t>Nida’s</w:t>
      </w:r>
      <w:proofErr w:type="spellEnd"/>
      <w:r w:rsidR="00711805" w:rsidRPr="00B13483">
        <w:rPr>
          <w:lang w:val="en-US"/>
        </w:rPr>
        <w:t xml:space="preserve"> (1996</w:t>
      </w:r>
      <w:r w:rsidR="00711805" w:rsidRPr="00554691">
        <w:rPr>
          <w:lang w:val="en-US"/>
        </w:rPr>
        <w:t>)</w:t>
      </w:r>
      <w:r w:rsidR="00E16785" w:rsidRPr="00554691">
        <w:rPr>
          <w:rStyle w:val="FootnoteReference"/>
          <w:rFonts w:ascii="Arial" w:hAnsi="Arial"/>
          <w:lang w:val="en-US"/>
        </w:rPr>
        <w:footnoteReference w:id="10"/>
      </w:r>
      <w:r w:rsidRPr="00554691">
        <w:rPr>
          <w:lang w:val="en-US"/>
        </w:rPr>
        <w:t xml:space="preserve"> approach to semantic domains will be discussed as an introduction to the research on the use of the </w:t>
      </w:r>
      <w:proofErr w:type="spellStart"/>
      <w:r w:rsidRPr="00554691">
        <w:rPr>
          <w:lang w:val="en-US"/>
        </w:rPr>
        <w:t>δι</w:t>
      </w:r>
      <w:proofErr w:type="spellEnd"/>
      <w:r w:rsidRPr="00554691">
        <w:rPr>
          <w:lang w:val="en-US"/>
        </w:rPr>
        <w:t>άκον- word group</w:t>
      </w:r>
      <w:r w:rsidR="00C9086C">
        <w:rPr>
          <w:lang w:val="en-US"/>
        </w:rPr>
        <w:t xml:space="preserve">. </w:t>
      </w:r>
      <w:r w:rsidRPr="00554691">
        <w:rPr>
          <w:lang w:val="en-US"/>
        </w:rPr>
        <w:t>Thereafter</w:t>
      </w:r>
      <w:r w:rsidR="004948C8" w:rsidRPr="00554691">
        <w:rPr>
          <w:lang w:val="en-US"/>
        </w:rPr>
        <w:t>,</w:t>
      </w:r>
      <w:r w:rsidR="0093376F" w:rsidRPr="00554691">
        <w:rPr>
          <w:lang w:val="en-US"/>
        </w:rPr>
        <w:t xml:space="preserve"> several </w:t>
      </w:r>
      <w:r w:rsidR="00D5701A" w:rsidRPr="00554691">
        <w:rPr>
          <w:lang w:val="en-US"/>
        </w:rPr>
        <w:t>s</w:t>
      </w:r>
      <w:r w:rsidR="0093376F" w:rsidRPr="00554691">
        <w:rPr>
          <w:lang w:val="en-US"/>
        </w:rPr>
        <w:t>criptural passages will be investigated</w:t>
      </w:r>
      <w:r w:rsidRPr="00554691">
        <w:rPr>
          <w:lang w:val="en-US"/>
        </w:rPr>
        <w:t xml:space="preserve">. In the discussion of each </w:t>
      </w:r>
      <w:r w:rsidR="00D5701A" w:rsidRPr="00554691">
        <w:rPr>
          <w:lang w:val="en-US"/>
        </w:rPr>
        <w:t>s</w:t>
      </w:r>
      <w:r w:rsidRPr="00554691">
        <w:rPr>
          <w:lang w:val="en-US"/>
        </w:rPr>
        <w:t xml:space="preserve">criptural passage, deductions will be made about what the original readers possibly had in mind when they called a </w:t>
      </w:r>
      <w:r w:rsidR="004467F6" w:rsidRPr="00554691">
        <w:rPr>
          <w:lang w:val="en-US"/>
        </w:rPr>
        <w:t>person</w:t>
      </w:r>
      <w:r w:rsidR="00B149B8">
        <w:rPr>
          <w:lang w:val="en-US"/>
        </w:rPr>
        <w:t xml:space="preserve"> in the churches a </w:t>
      </w:r>
      <w:proofErr w:type="spellStart"/>
      <w:r w:rsidR="00B149B8">
        <w:rPr>
          <w:lang w:val="en-US"/>
        </w:rPr>
        <w:t>δι</w:t>
      </w:r>
      <w:proofErr w:type="spellEnd"/>
      <w:r w:rsidR="00B149B8">
        <w:rPr>
          <w:lang w:val="en-US"/>
        </w:rPr>
        <w:t xml:space="preserve">άκονος and what the essence and content of the work of a </w:t>
      </w:r>
      <w:proofErr w:type="spellStart"/>
      <w:r w:rsidR="00B149B8">
        <w:rPr>
          <w:lang w:val="en-US"/>
        </w:rPr>
        <w:t>δι</w:t>
      </w:r>
      <w:proofErr w:type="spellEnd"/>
      <w:r w:rsidR="00B149B8">
        <w:rPr>
          <w:lang w:val="en-US"/>
        </w:rPr>
        <w:t xml:space="preserve">άκονος could have been.  </w:t>
      </w:r>
    </w:p>
    <w:p w14:paraId="27D25E23" w14:textId="3647EE2F" w:rsidR="00945599" w:rsidRPr="00682604" w:rsidRDefault="00945599" w:rsidP="001A203D">
      <w:pPr>
        <w:pStyle w:val="Heading2"/>
        <w:rPr>
          <w:lang w:val="en-US"/>
        </w:rPr>
      </w:pPr>
      <w:bookmarkStart w:id="6" w:name="_Toc482179313"/>
      <w:bookmarkStart w:id="7" w:name="_Toc476766133"/>
      <w:bookmarkStart w:id="8" w:name="_Toc482565029"/>
      <w:bookmarkStart w:id="9" w:name="_Toc484005313"/>
      <w:bookmarkStart w:id="10" w:name="_Toc493264812"/>
      <w:r w:rsidRPr="00682604">
        <w:rPr>
          <w:lang w:val="en-US"/>
        </w:rPr>
        <w:t xml:space="preserve">The ‘distinctive’ </w:t>
      </w:r>
      <w:r w:rsidRPr="00C65ABD">
        <w:t>meaning</w:t>
      </w:r>
      <w:r w:rsidRPr="00682604">
        <w:rPr>
          <w:lang w:val="en-US"/>
        </w:rPr>
        <w:t xml:space="preserve"> of the </w:t>
      </w:r>
      <w:proofErr w:type="spellStart"/>
      <w:r w:rsidRPr="00682604">
        <w:rPr>
          <w:iCs/>
          <w:lang w:val="en-US"/>
        </w:rPr>
        <w:t>δι</w:t>
      </w:r>
      <w:proofErr w:type="spellEnd"/>
      <w:r w:rsidRPr="00682604">
        <w:rPr>
          <w:iCs/>
          <w:lang w:val="en-US"/>
        </w:rPr>
        <w:t>άκον</w:t>
      </w:r>
      <w:r w:rsidRPr="00682604">
        <w:rPr>
          <w:lang w:val="en-US"/>
        </w:rPr>
        <w:t>- word group</w:t>
      </w:r>
      <w:bookmarkEnd w:id="6"/>
      <w:bookmarkEnd w:id="7"/>
      <w:bookmarkEnd w:id="8"/>
      <w:bookmarkEnd w:id="9"/>
      <w:bookmarkEnd w:id="10"/>
    </w:p>
    <w:p w14:paraId="4C723CE8" w14:textId="59ECDCC0" w:rsidR="00945599" w:rsidRPr="00682604" w:rsidRDefault="001274AD" w:rsidP="00F5336E">
      <w:pPr>
        <w:rPr>
          <w:lang w:val="en-US"/>
        </w:rPr>
      </w:pPr>
      <w:r>
        <w:rPr>
          <w:lang w:val="en-US"/>
        </w:rPr>
        <w:t xml:space="preserve">When the </w:t>
      </w:r>
      <w:r w:rsidRPr="00682604">
        <w:rPr>
          <w:lang w:val="en-US"/>
        </w:rPr>
        <w:t xml:space="preserve">‘distinctive’ </w:t>
      </w:r>
      <w:r w:rsidRPr="00C65ABD">
        <w:t>meaning</w:t>
      </w:r>
      <w:r w:rsidRPr="00682604">
        <w:rPr>
          <w:lang w:val="en-US"/>
        </w:rPr>
        <w:t xml:space="preserve"> of the </w:t>
      </w:r>
      <w:proofErr w:type="spellStart"/>
      <w:r w:rsidRPr="00682604">
        <w:rPr>
          <w:iCs/>
          <w:lang w:val="en-US"/>
        </w:rPr>
        <w:t>δι</w:t>
      </w:r>
      <w:proofErr w:type="spellEnd"/>
      <w:r w:rsidRPr="00682604">
        <w:rPr>
          <w:iCs/>
          <w:lang w:val="en-US"/>
        </w:rPr>
        <w:t>άκον</w:t>
      </w:r>
      <w:r w:rsidRPr="00682604">
        <w:rPr>
          <w:lang w:val="en-US"/>
        </w:rPr>
        <w:t xml:space="preserve">- word group </w:t>
      </w:r>
      <w:r>
        <w:rPr>
          <w:lang w:val="en-US"/>
        </w:rPr>
        <w:t xml:space="preserve">is </w:t>
      </w:r>
      <w:r w:rsidR="007C237B">
        <w:rPr>
          <w:lang w:val="en-US"/>
        </w:rPr>
        <w:t>investigated,</w:t>
      </w:r>
      <w:r>
        <w:rPr>
          <w:lang w:val="en-US"/>
        </w:rPr>
        <w:t xml:space="preserve"> it is important to take into account what</w:t>
      </w:r>
      <w:r w:rsidRPr="00682604">
        <w:rPr>
          <w:lang w:val="en-US"/>
        </w:rPr>
        <w:t xml:space="preserve"> </w:t>
      </w:r>
      <w:r w:rsidR="00D148B2" w:rsidRPr="00682604">
        <w:rPr>
          <w:lang w:val="en-US"/>
        </w:rPr>
        <w:t xml:space="preserve">Burton </w:t>
      </w:r>
      <w:r w:rsidR="00945599" w:rsidRPr="00682604">
        <w:rPr>
          <w:lang w:val="en-US"/>
        </w:rPr>
        <w:t>says:</w:t>
      </w:r>
    </w:p>
    <w:p w14:paraId="5597621A" w14:textId="177D4826" w:rsidR="00945599" w:rsidRPr="00682604" w:rsidRDefault="00945599" w:rsidP="00F5336E">
      <w:pPr>
        <w:ind w:left="284" w:right="284"/>
        <w:rPr>
          <w:lang w:val="en-US"/>
        </w:rPr>
      </w:pPr>
      <w:r w:rsidRPr="00682604">
        <w:rPr>
          <w:lang w:val="en-US"/>
        </w:rPr>
        <w:t>The study of words is by no means the whole interpretation. No language, unless it be that of a mathematical formula or a logical definition, conveys in the words expressed all the thought which it represents in the mind of the speaker or even all that it is intended to create and actually does create in the mind of the intelligent hearer</w:t>
      </w:r>
      <w:r w:rsidR="009C7F08">
        <w:rPr>
          <w:lang w:val="en-US"/>
        </w:rPr>
        <w:t xml:space="preserve"> </w:t>
      </w:r>
      <w:r w:rsidRPr="00682604">
        <w:rPr>
          <w:lang w:val="en-US"/>
        </w:rPr>
        <w:t xml:space="preserve">... The interpreter </w:t>
      </w:r>
      <w:r w:rsidRPr="00682604">
        <w:rPr>
          <w:lang w:val="en-US"/>
        </w:rPr>
        <w:lastRenderedPageBreak/>
        <w:t>who confines himself to mere word-study must often miss the richest an</w:t>
      </w:r>
      <w:r w:rsidR="00D148B2" w:rsidRPr="00682604">
        <w:rPr>
          <w:lang w:val="en-US"/>
        </w:rPr>
        <w:t>d best of his author's thought.</w:t>
      </w:r>
      <w:r w:rsidR="00F5336E" w:rsidRPr="00682604">
        <w:rPr>
          <w:rStyle w:val="FootnoteReference"/>
          <w:rFonts w:ascii="Arial" w:hAnsi="Arial"/>
          <w:lang w:val="en-US"/>
        </w:rPr>
        <w:footnoteReference w:id="11"/>
      </w:r>
    </w:p>
    <w:p w14:paraId="2B9B66C6" w14:textId="2B6D8A34" w:rsidR="00945599" w:rsidRPr="00682604" w:rsidRDefault="007C237B" w:rsidP="009C7F08">
      <w:pPr>
        <w:rPr>
          <w:lang w:val="en-US"/>
        </w:rPr>
      </w:pPr>
      <w:r w:rsidRPr="00682604">
        <w:rPr>
          <w:lang w:val="en-US"/>
        </w:rPr>
        <w:t>It is important to state the insights of</w:t>
      </w:r>
      <w:r>
        <w:rPr>
          <w:lang w:val="en-US"/>
        </w:rPr>
        <w:t xml:space="preserve"> </w:t>
      </w:r>
      <w:proofErr w:type="spellStart"/>
      <w:r w:rsidRPr="00682604">
        <w:rPr>
          <w:lang w:val="en-US"/>
        </w:rPr>
        <w:t>Louw</w:t>
      </w:r>
      <w:proofErr w:type="spellEnd"/>
      <w:r w:rsidRPr="00682604">
        <w:rPr>
          <w:lang w:val="en-US"/>
        </w:rPr>
        <w:t xml:space="preserve"> and </w:t>
      </w:r>
      <w:proofErr w:type="spellStart"/>
      <w:r w:rsidRPr="00682604">
        <w:rPr>
          <w:lang w:val="en-US"/>
        </w:rPr>
        <w:t>Nida</w:t>
      </w:r>
      <w:proofErr w:type="spellEnd"/>
      <w:r w:rsidRPr="00682604">
        <w:rPr>
          <w:lang w:val="en-US"/>
        </w:rPr>
        <w:t xml:space="preserve"> into the use of words. </w:t>
      </w:r>
      <w:r w:rsidR="00945599" w:rsidRPr="00682604">
        <w:rPr>
          <w:lang w:val="en-US"/>
        </w:rPr>
        <w:t>They divide words into different semantic domains and explain the division as follows:</w:t>
      </w:r>
    </w:p>
    <w:p w14:paraId="03C27FEB" w14:textId="4E3D3CD7" w:rsidR="00945599" w:rsidRPr="00682604" w:rsidRDefault="00945599" w:rsidP="009C7F08">
      <w:pPr>
        <w:ind w:left="284" w:right="284"/>
        <w:rPr>
          <w:lang w:val="en-US"/>
        </w:rPr>
      </w:pPr>
      <w:r w:rsidRPr="00682604">
        <w:rPr>
          <w:lang w:val="en-US"/>
        </w:rPr>
        <w:t>The basis for the various semantic domains and subdomains consists of three major classes of semantic features: shared, distinctive, and supplementary. The shared features are those elements of the meaning of lexical items which are held in common by a set of lexical items. The distinctive features are those which separate meanings one from another and the supplementary features are those which may be relevant in certain contexts or may play primarily a connotative or associative role.</w:t>
      </w:r>
      <w:r w:rsidR="009C7F08" w:rsidRPr="00682604">
        <w:rPr>
          <w:rStyle w:val="FootnoteReference"/>
          <w:rFonts w:ascii="Arial" w:hAnsi="Arial"/>
          <w:lang w:val="en-US"/>
        </w:rPr>
        <w:footnoteReference w:id="12"/>
      </w:r>
    </w:p>
    <w:p w14:paraId="57B20082" w14:textId="77777777" w:rsidR="00945599" w:rsidRPr="00682604" w:rsidRDefault="00945599" w:rsidP="00E46DE3">
      <w:pPr>
        <w:rPr>
          <w:lang w:val="en-US"/>
        </w:rPr>
      </w:pPr>
      <w:r w:rsidRPr="00682604">
        <w:rPr>
          <w:lang w:val="en-US"/>
        </w:rPr>
        <w:t>They give a further explanation of the use of words:</w:t>
      </w:r>
    </w:p>
    <w:p w14:paraId="62CA6686" w14:textId="42BD21EE" w:rsidR="00945599" w:rsidRPr="00682604" w:rsidRDefault="00945599" w:rsidP="00C950E6">
      <w:pPr>
        <w:ind w:left="284" w:right="284"/>
        <w:rPr>
          <w:lang w:val="en-US"/>
        </w:rPr>
      </w:pPr>
      <w:r w:rsidRPr="00682604">
        <w:rPr>
          <w:lang w:val="en-US"/>
        </w:rPr>
        <w:t xml:space="preserve">What is essential is that one does not confuse the meaning of a term with the particular reference which a term has in a specific context. For example, </w:t>
      </w:r>
      <w:proofErr w:type="spellStart"/>
      <w:r w:rsidRPr="00682604">
        <w:rPr>
          <w:lang w:val="en-US"/>
        </w:rPr>
        <w:t>ὄρνις</w:t>
      </w:r>
      <w:proofErr w:type="spellEnd"/>
      <w:r w:rsidRPr="00682604">
        <w:rPr>
          <w:lang w:val="en-US"/>
        </w:rPr>
        <w:t xml:space="preserve"> (4.38) may be defined as “any kind of bird, wild or domestic,” but in Mt 23:37 (the only occurrence of </w:t>
      </w:r>
      <w:proofErr w:type="spellStart"/>
      <w:r w:rsidRPr="00682604">
        <w:rPr>
          <w:lang w:val="en-US"/>
        </w:rPr>
        <w:t>ὄρνις</w:t>
      </w:r>
      <w:proofErr w:type="spellEnd"/>
      <w:r w:rsidRPr="00682604">
        <w:rPr>
          <w:lang w:val="en-US"/>
        </w:rPr>
        <w:t xml:space="preserve"> in the New Testament) it probably refers to a hen, and therefore may be translated as such. But the meaning of </w:t>
      </w:r>
      <w:proofErr w:type="spellStart"/>
      <w:r w:rsidRPr="00682604">
        <w:rPr>
          <w:lang w:val="en-US"/>
        </w:rPr>
        <w:t>ὄρνις</w:t>
      </w:r>
      <w:proofErr w:type="spellEnd"/>
      <w:r w:rsidRPr="00682604">
        <w:rPr>
          <w:lang w:val="en-US"/>
        </w:rPr>
        <w:t xml:space="preserve"> is not “hen” but “a bird of any kind, either wild or </w:t>
      </w:r>
      <w:r w:rsidR="00C950E6">
        <w:rPr>
          <w:lang w:val="en-US"/>
        </w:rPr>
        <w:t>“</w:t>
      </w:r>
      <w:r w:rsidRPr="00682604">
        <w:rPr>
          <w:lang w:val="en-US"/>
        </w:rPr>
        <w:t>domesticated,” since it is used in Hellenistic and Classical Greek with precisely such a broad range of reference.</w:t>
      </w:r>
      <w:r w:rsidR="009C7F08">
        <w:rPr>
          <w:rStyle w:val="FootnoteReference"/>
          <w:lang w:val="en-US"/>
        </w:rPr>
        <w:footnoteReference w:id="13"/>
      </w:r>
    </w:p>
    <w:p w14:paraId="09CC00B8" w14:textId="7679BA08" w:rsidR="00945599" w:rsidRPr="00682604" w:rsidRDefault="00945599" w:rsidP="00023A0E">
      <w:pPr>
        <w:rPr>
          <w:lang w:val="en-US"/>
        </w:rPr>
      </w:pPr>
      <w:r w:rsidRPr="00682604">
        <w:rPr>
          <w:lang w:val="en-US"/>
        </w:rPr>
        <w:t xml:space="preserve">In similar fashion, </w:t>
      </w:r>
      <w:proofErr w:type="spellStart"/>
      <w:r w:rsidRPr="00682604">
        <w:rPr>
          <w:lang w:val="en-US"/>
        </w:rPr>
        <w:t>θήχη</w:t>
      </w:r>
      <w:proofErr w:type="spellEnd"/>
      <w:r w:rsidRPr="00682604">
        <w:rPr>
          <w:lang w:val="en-US"/>
        </w:rPr>
        <w:t xml:space="preserve"> (6.119) may be translated in </w:t>
      </w:r>
      <w:proofErr w:type="spellStart"/>
      <w:r w:rsidRPr="00A7435B">
        <w:rPr>
          <w:lang w:val="en-US"/>
        </w:rPr>
        <w:t>Jn</w:t>
      </w:r>
      <w:proofErr w:type="spellEnd"/>
      <w:r w:rsidRPr="00682604">
        <w:rPr>
          <w:lang w:val="en-US"/>
        </w:rPr>
        <w:t xml:space="preserve"> 18:11 as </w:t>
      </w:r>
      <w:r w:rsidR="009C7F08">
        <w:rPr>
          <w:lang w:val="en-US"/>
        </w:rPr>
        <w:t>“</w:t>
      </w:r>
      <w:r w:rsidRPr="00682604">
        <w:rPr>
          <w:lang w:val="en-US"/>
        </w:rPr>
        <w:t>sheath,</w:t>
      </w:r>
      <w:r w:rsidR="009C7F08">
        <w:rPr>
          <w:lang w:val="en-US"/>
        </w:rPr>
        <w:t>”</w:t>
      </w:r>
      <w:r w:rsidRPr="00682604">
        <w:rPr>
          <w:lang w:val="en-US"/>
        </w:rPr>
        <w:t xml:space="preserve"> since the context refers to putting a sword in its container. This does not mean that </w:t>
      </w:r>
      <w:proofErr w:type="spellStart"/>
      <w:r w:rsidRPr="00682604">
        <w:rPr>
          <w:lang w:val="en-US"/>
        </w:rPr>
        <w:t>θήχη</w:t>
      </w:r>
      <w:proofErr w:type="spellEnd"/>
      <w:r w:rsidRPr="00682604">
        <w:rPr>
          <w:lang w:val="en-US"/>
        </w:rPr>
        <w:t xml:space="preserve"> means </w:t>
      </w:r>
      <w:r w:rsidR="009C7F08">
        <w:rPr>
          <w:lang w:val="en-US"/>
        </w:rPr>
        <w:t>“</w:t>
      </w:r>
      <w:r w:rsidRPr="00682604">
        <w:rPr>
          <w:lang w:val="en-US"/>
        </w:rPr>
        <w:t>sheath,</w:t>
      </w:r>
      <w:r w:rsidR="009C7F08">
        <w:rPr>
          <w:lang w:val="en-US"/>
        </w:rPr>
        <w:t>”</w:t>
      </w:r>
      <w:r w:rsidRPr="00682604">
        <w:rPr>
          <w:lang w:val="en-US"/>
        </w:rPr>
        <w:t xml:space="preserve"> for </w:t>
      </w:r>
      <w:proofErr w:type="spellStart"/>
      <w:r w:rsidRPr="00682604">
        <w:rPr>
          <w:lang w:val="en-US"/>
        </w:rPr>
        <w:t>θήχη</w:t>
      </w:r>
      <w:proofErr w:type="spellEnd"/>
      <w:r w:rsidRPr="00682604">
        <w:rPr>
          <w:lang w:val="en-US"/>
        </w:rPr>
        <w:t xml:space="preserve"> designates </w:t>
      </w:r>
      <w:r w:rsidR="009C7F08">
        <w:rPr>
          <w:lang w:val="en-US"/>
        </w:rPr>
        <w:t>“</w:t>
      </w:r>
      <w:r w:rsidRPr="00682604">
        <w:rPr>
          <w:lang w:val="en-US"/>
        </w:rPr>
        <w:t>any receptacle into which an object is customarily placed for safekeeping.</w:t>
      </w:r>
      <w:r w:rsidR="009C7F08">
        <w:rPr>
          <w:lang w:val="en-US"/>
        </w:rPr>
        <w:t>”</w:t>
      </w:r>
    </w:p>
    <w:p w14:paraId="6B5AA542" w14:textId="275CFA99" w:rsidR="00C04184" w:rsidRDefault="00945599" w:rsidP="00C04184">
      <w:pPr>
        <w:rPr>
          <w:lang w:val="en-US"/>
        </w:rPr>
      </w:pPr>
      <w:r w:rsidRPr="00682604">
        <w:rPr>
          <w:lang w:val="en-US"/>
        </w:rPr>
        <w:t xml:space="preserve">The research results of John N. Collins and </w:t>
      </w:r>
      <w:proofErr w:type="spellStart"/>
      <w:r w:rsidR="003D7A29" w:rsidRPr="00682604">
        <w:rPr>
          <w:lang w:val="en-US"/>
        </w:rPr>
        <w:t>Anni</w:t>
      </w:r>
      <w:proofErr w:type="spellEnd"/>
      <w:r w:rsidR="003D7A29" w:rsidRPr="00682604">
        <w:rPr>
          <w:lang w:val="en-US"/>
        </w:rPr>
        <w:t xml:space="preserve"> </w:t>
      </w:r>
      <w:proofErr w:type="spellStart"/>
      <w:r w:rsidRPr="00682604">
        <w:rPr>
          <w:lang w:val="en-US"/>
        </w:rPr>
        <w:t>Hentschel</w:t>
      </w:r>
      <w:proofErr w:type="spellEnd"/>
      <w:r w:rsidRPr="00682604">
        <w:rPr>
          <w:lang w:val="en-US"/>
        </w:rPr>
        <w:t xml:space="preserve">, who show that the </w:t>
      </w:r>
      <w:proofErr w:type="spellStart"/>
      <w:r w:rsidRPr="00682604">
        <w:rPr>
          <w:lang w:val="en-US"/>
        </w:rPr>
        <w:t>δι</w:t>
      </w:r>
      <w:proofErr w:type="spellEnd"/>
      <w:r w:rsidRPr="00682604">
        <w:rPr>
          <w:lang w:val="en-US"/>
        </w:rPr>
        <w:t xml:space="preserve">άκον- word group does not primarily or always indicate humble service or charity, are widely accepted. Their finding is that the ‘distinctive’ meaning (also called the </w:t>
      </w:r>
      <w:r w:rsidR="008671DE">
        <w:rPr>
          <w:lang w:val="en-US"/>
        </w:rPr>
        <w:t>“</w:t>
      </w:r>
      <w:r w:rsidRPr="00682604">
        <w:rPr>
          <w:lang w:val="en-US"/>
        </w:rPr>
        <w:t>denotative</w:t>
      </w:r>
      <w:r w:rsidR="008671DE">
        <w:rPr>
          <w:lang w:val="en-US"/>
        </w:rPr>
        <w:t>”</w:t>
      </w:r>
      <w:r w:rsidRPr="00682604">
        <w:rPr>
          <w:lang w:val="en-US"/>
        </w:rPr>
        <w:t xml:space="preserve"> or </w:t>
      </w:r>
      <w:r w:rsidR="008671DE">
        <w:rPr>
          <w:lang w:val="en-US"/>
        </w:rPr>
        <w:t>“</w:t>
      </w:r>
      <w:r w:rsidRPr="00682604">
        <w:rPr>
          <w:lang w:val="en-US"/>
        </w:rPr>
        <w:t>designative</w:t>
      </w:r>
      <w:r w:rsidR="008671DE">
        <w:rPr>
          <w:lang w:val="en-US"/>
        </w:rPr>
        <w:t>”</w:t>
      </w:r>
      <w:r w:rsidRPr="00682604">
        <w:rPr>
          <w:lang w:val="en-US"/>
        </w:rPr>
        <w:t xml:space="preserve"> meaning by </w:t>
      </w:r>
      <w:proofErr w:type="spellStart"/>
      <w:r w:rsidRPr="00521CEC">
        <w:rPr>
          <w:lang w:val="en-US"/>
        </w:rPr>
        <w:t>Louw</w:t>
      </w:r>
      <w:proofErr w:type="spellEnd"/>
      <w:r w:rsidRPr="00521CEC">
        <w:rPr>
          <w:lang w:val="en-US"/>
        </w:rPr>
        <w:t xml:space="preserve"> and </w:t>
      </w:r>
      <w:proofErr w:type="spellStart"/>
      <w:r w:rsidRPr="00521CEC">
        <w:rPr>
          <w:lang w:val="en-US"/>
        </w:rPr>
        <w:t>Nida</w:t>
      </w:r>
      <w:proofErr w:type="spellEnd"/>
      <w:r w:rsidRPr="00682604">
        <w:rPr>
          <w:lang w:val="en-US"/>
        </w:rPr>
        <w:t xml:space="preserve">) of the </w:t>
      </w:r>
      <w:proofErr w:type="spellStart"/>
      <w:r w:rsidRPr="00682604">
        <w:rPr>
          <w:lang w:val="en-US"/>
        </w:rPr>
        <w:t>δι</w:t>
      </w:r>
      <w:proofErr w:type="spellEnd"/>
      <w:r w:rsidRPr="00682604">
        <w:rPr>
          <w:lang w:val="en-US"/>
        </w:rPr>
        <w:t xml:space="preserve">άκον- word group is not humble service or charity, but </w:t>
      </w:r>
      <w:r w:rsidR="008671DE">
        <w:rPr>
          <w:lang w:val="en-US"/>
        </w:rPr>
        <w:t>“</w:t>
      </w:r>
      <w:r w:rsidRPr="00682604">
        <w:rPr>
          <w:lang w:val="en-US"/>
        </w:rPr>
        <w:t>go-between</w:t>
      </w:r>
      <w:r w:rsidR="008671DE">
        <w:rPr>
          <w:lang w:val="en-US"/>
        </w:rPr>
        <w:t>,”</w:t>
      </w:r>
      <w:r w:rsidRPr="00682604">
        <w:rPr>
          <w:lang w:val="en-US"/>
        </w:rPr>
        <w:t xml:space="preserve"> </w:t>
      </w:r>
      <w:r w:rsidR="008671DE">
        <w:rPr>
          <w:lang w:val="en-US"/>
        </w:rPr>
        <w:t>“</w:t>
      </w:r>
      <w:r w:rsidRPr="00682604">
        <w:rPr>
          <w:lang w:val="en-US"/>
        </w:rPr>
        <w:t>envoy</w:t>
      </w:r>
      <w:r w:rsidR="008671DE">
        <w:rPr>
          <w:lang w:val="en-US"/>
        </w:rPr>
        <w:t>,”</w:t>
      </w:r>
      <w:r w:rsidRPr="00682604">
        <w:rPr>
          <w:lang w:val="en-US"/>
        </w:rPr>
        <w:t xml:space="preserve"> </w:t>
      </w:r>
      <w:r w:rsidR="008671DE">
        <w:rPr>
          <w:lang w:val="en-US"/>
        </w:rPr>
        <w:t>“</w:t>
      </w:r>
      <w:r w:rsidRPr="00682604">
        <w:rPr>
          <w:lang w:val="en-US"/>
        </w:rPr>
        <w:t>representative</w:t>
      </w:r>
      <w:r w:rsidR="008671DE">
        <w:rPr>
          <w:lang w:val="en-US"/>
        </w:rPr>
        <w:t>”</w:t>
      </w:r>
      <w:r w:rsidRPr="00682604">
        <w:rPr>
          <w:lang w:val="en-US"/>
        </w:rPr>
        <w:t xml:space="preserve"> or </w:t>
      </w:r>
      <w:r w:rsidR="008671DE">
        <w:rPr>
          <w:lang w:val="en-US"/>
        </w:rPr>
        <w:t>“</w:t>
      </w:r>
      <w:r w:rsidRPr="00682604">
        <w:rPr>
          <w:lang w:val="en-US"/>
        </w:rPr>
        <w:t>spokesperson</w:t>
      </w:r>
      <w:r w:rsidR="008671DE">
        <w:rPr>
          <w:lang w:val="en-US"/>
        </w:rPr>
        <w:t>.”</w:t>
      </w:r>
      <w:r w:rsidRPr="00682604">
        <w:rPr>
          <w:lang w:val="en-US"/>
        </w:rPr>
        <w:t xml:space="preserve"> Certain further possible meanings (shared and supplementary) of this word group in the New Testament are to be excluded, </w:t>
      </w:r>
      <w:r w:rsidRPr="00682604">
        <w:rPr>
          <w:lang w:val="en-US"/>
        </w:rPr>
        <w:lastRenderedPageBreak/>
        <w:t xml:space="preserve">according to Collins. His most prominent exclusions are that the word group does not indicate service done out of love for people and that it only refers to service that is performed by an </w:t>
      </w:r>
      <w:r w:rsidRPr="00682604">
        <w:rPr>
          <w:iCs/>
          <w:lang w:val="en-US"/>
        </w:rPr>
        <w:t>ordained</w:t>
      </w:r>
      <w:r w:rsidRPr="00682604">
        <w:rPr>
          <w:lang w:val="en-US"/>
        </w:rPr>
        <w:t xml:space="preserve"> person in the church</w:t>
      </w:r>
      <w:r w:rsidR="00C950E6">
        <w:rPr>
          <w:lang w:val="en-US"/>
        </w:rPr>
        <w:t xml:space="preserve">. </w:t>
      </w:r>
      <w:r w:rsidR="00A42026">
        <w:rPr>
          <w:lang w:val="en-US"/>
        </w:rPr>
        <w:t>In another article</w:t>
      </w:r>
      <w:r w:rsidR="00A453DD">
        <w:rPr>
          <w:lang w:val="en-US"/>
        </w:rPr>
        <w:t>,</w:t>
      </w:r>
      <w:r w:rsidR="00A42026">
        <w:rPr>
          <w:lang w:val="en-US"/>
        </w:rPr>
        <w:t xml:space="preserve"> I have</w:t>
      </w:r>
      <w:r w:rsidR="00C950E6">
        <w:rPr>
          <w:lang w:val="en-US"/>
        </w:rPr>
        <w:t xml:space="preserve"> pointed out why </w:t>
      </w:r>
      <w:r w:rsidR="007C237B">
        <w:rPr>
          <w:lang w:val="en-US"/>
        </w:rPr>
        <w:t>these exclusions</w:t>
      </w:r>
      <w:r w:rsidR="00C950E6">
        <w:rPr>
          <w:lang w:val="en-US"/>
        </w:rPr>
        <w:t xml:space="preserve"> cannot be accepted and that the context should determine the semantic content.</w:t>
      </w:r>
      <w:r w:rsidR="00C950E6">
        <w:rPr>
          <w:rStyle w:val="FootnoteReference"/>
          <w:lang w:val="en-US"/>
        </w:rPr>
        <w:footnoteReference w:id="14"/>
      </w:r>
      <w:r w:rsidRPr="00682604">
        <w:rPr>
          <w:lang w:val="en-US"/>
        </w:rPr>
        <w:t xml:space="preserve"> This point of view means that the semantic content of the </w:t>
      </w:r>
      <w:proofErr w:type="spellStart"/>
      <w:r w:rsidRPr="00682604">
        <w:rPr>
          <w:lang w:val="en-US"/>
        </w:rPr>
        <w:t>δι</w:t>
      </w:r>
      <w:proofErr w:type="spellEnd"/>
      <w:r w:rsidRPr="00682604">
        <w:rPr>
          <w:lang w:val="en-US"/>
        </w:rPr>
        <w:t xml:space="preserve">άκον- word group is not entirely neutral and </w:t>
      </w:r>
      <w:r w:rsidR="009C7F08">
        <w:rPr>
          <w:lang w:val="en-US"/>
        </w:rPr>
        <w:t>has to be</w:t>
      </w:r>
      <w:r w:rsidRPr="00682604">
        <w:rPr>
          <w:lang w:val="en-US"/>
        </w:rPr>
        <w:t xml:space="preserve"> determined by the context.</w:t>
      </w:r>
      <w:bookmarkStart w:id="11" w:name="_Toc482179314"/>
      <w:bookmarkStart w:id="12" w:name="_Toc476766134"/>
      <w:bookmarkStart w:id="13" w:name="_Toc482565030"/>
      <w:bookmarkStart w:id="14" w:name="_Toc484005314"/>
      <w:bookmarkStart w:id="15" w:name="_Toc493264813"/>
    </w:p>
    <w:bookmarkEnd w:id="11"/>
    <w:bookmarkEnd w:id="12"/>
    <w:bookmarkEnd w:id="13"/>
    <w:bookmarkEnd w:id="14"/>
    <w:bookmarkEnd w:id="15"/>
    <w:p w14:paraId="54B6C057" w14:textId="2AFA35E6" w:rsidR="00730BD5" w:rsidRDefault="00B83718" w:rsidP="00F87E4D">
      <w:pPr>
        <w:rPr>
          <w:lang w:val="en-US"/>
        </w:rPr>
      </w:pPr>
      <w:r>
        <w:rPr>
          <w:lang w:val="en-US"/>
        </w:rPr>
        <w:t xml:space="preserve">This article </w:t>
      </w:r>
      <w:r w:rsidR="00F87E4D">
        <w:rPr>
          <w:lang w:val="en-US"/>
        </w:rPr>
        <w:t>is</w:t>
      </w:r>
      <w:r>
        <w:rPr>
          <w:lang w:val="en-US"/>
        </w:rPr>
        <w:t xml:space="preserve"> the first step towards determining the task of the deacon from the use of the </w:t>
      </w:r>
      <w:proofErr w:type="spellStart"/>
      <w:r w:rsidRPr="00B83718">
        <w:rPr>
          <w:lang w:val="en-US"/>
        </w:rPr>
        <w:t>δι</w:t>
      </w:r>
      <w:proofErr w:type="spellEnd"/>
      <w:r w:rsidRPr="00B83718">
        <w:rPr>
          <w:lang w:val="en-US"/>
        </w:rPr>
        <w:t>άκον- word group in the New Testament</w:t>
      </w:r>
      <w:r>
        <w:rPr>
          <w:lang w:val="en-US"/>
        </w:rPr>
        <w:t xml:space="preserve">. </w:t>
      </w:r>
    </w:p>
    <w:p w14:paraId="1C2A7A41" w14:textId="24B2BB5C" w:rsidR="00945599" w:rsidRPr="00682604" w:rsidRDefault="00945599" w:rsidP="00E46DE3">
      <w:pPr>
        <w:rPr>
          <w:lang w:val="en-US"/>
        </w:rPr>
      </w:pPr>
      <w:r w:rsidRPr="00682604">
        <w:rPr>
          <w:lang w:val="en-US"/>
        </w:rPr>
        <w:t xml:space="preserve">The starting-point of this investigation into the meaning of the </w:t>
      </w:r>
      <w:proofErr w:type="spellStart"/>
      <w:r w:rsidRPr="00682604">
        <w:rPr>
          <w:lang w:val="en-US"/>
        </w:rPr>
        <w:t>δι</w:t>
      </w:r>
      <w:proofErr w:type="spellEnd"/>
      <w:r w:rsidRPr="00682604">
        <w:rPr>
          <w:lang w:val="en-US"/>
        </w:rPr>
        <w:t>άκον- word is now explained. Every word has lexicographical semantic possibilities. A writer or a speaker can have one or more of these semantic possibilities in mind when he or she uses a word in a specific context. The reader or hearer can only establish from the context which one of these semantic possibilities is in the mind of the writer/speaker. A writer can assign a unique semantic possibility (concept) to a certain word in his</w:t>
      </w:r>
      <w:r w:rsidR="002011B6">
        <w:rPr>
          <w:rStyle w:val="FootnoteReference"/>
          <w:lang w:val="en-US"/>
        </w:rPr>
        <w:footnoteReference w:id="15"/>
      </w:r>
      <w:r w:rsidRPr="00682604">
        <w:rPr>
          <w:lang w:val="en-US"/>
        </w:rPr>
        <w:t xml:space="preserve"> work.</w:t>
      </w:r>
    </w:p>
    <w:p w14:paraId="525FFB65" w14:textId="15300D9E" w:rsidR="00855320" w:rsidRPr="00682604" w:rsidRDefault="00945599" w:rsidP="00F87E4D">
      <w:pPr>
        <w:rPr>
          <w:lang w:val="en-US"/>
        </w:rPr>
      </w:pPr>
      <w:r w:rsidRPr="00682604">
        <w:rPr>
          <w:lang w:val="en-US"/>
        </w:rPr>
        <w:t xml:space="preserve">In this study, </w:t>
      </w:r>
      <w:r w:rsidR="00F87E4D">
        <w:rPr>
          <w:lang w:val="en-US"/>
        </w:rPr>
        <w:t>I</w:t>
      </w:r>
      <w:r w:rsidR="00F87E4D" w:rsidRPr="00682604">
        <w:rPr>
          <w:lang w:val="en-US"/>
        </w:rPr>
        <w:t xml:space="preserve"> </w:t>
      </w:r>
      <w:r w:rsidRPr="00682604">
        <w:rPr>
          <w:lang w:val="en-US"/>
        </w:rPr>
        <w:t xml:space="preserve">will also look at the possibility </w:t>
      </w:r>
      <w:r w:rsidR="00F87E4D">
        <w:rPr>
          <w:lang w:val="en-US"/>
        </w:rPr>
        <w:t>of using</w:t>
      </w:r>
      <w:r w:rsidRPr="00682604">
        <w:rPr>
          <w:lang w:val="en-US"/>
        </w:rPr>
        <w:t xml:space="preserve"> the results of the exegesis of </w:t>
      </w:r>
      <w:r w:rsidR="00191D8B" w:rsidRPr="00682604">
        <w:rPr>
          <w:lang w:val="en-US"/>
        </w:rPr>
        <w:t xml:space="preserve">some </w:t>
      </w:r>
      <w:r w:rsidRPr="00682604">
        <w:rPr>
          <w:lang w:val="en-US"/>
        </w:rPr>
        <w:t xml:space="preserve">passages where the </w:t>
      </w:r>
      <w:proofErr w:type="spellStart"/>
      <w:r w:rsidRPr="00682604">
        <w:rPr>
          <w:lang w:val="en-US"/>
        </w:rPr>
        <w:t>δι</w:t>
      </w:r>
      <w:proofErr w:type="spellEnd"/>
      <w:r w:rsidRPr="00682604">
        <w:rPr>
          <w:lang w:val="en-US"/>
        </w:rPr>
        <w:t xml:space="preserve">άκον- word group is used to </w:t>
      </w:r>
      <w:r w:rsidR="00F87E4D">
        <w:rPr>
          <w:lang w:val="en-US"/>
        </w:rPr>
        <w:t>suggest</w:t>
      </w:r>
      <w:r w:rsidRPr="00682604">
        <w:rPr>
          <w:lang w:val="en-US"/>
        </w:rPr>
        <w:t xml:space="preserve"> a theory </w:t>
      </w:r>
      <w:r w:rsidR="003C5AD0">
        <w:rPr>
          <w:lang w:val="en-US"/>
        </w:rPr>
        <w:t>about</w:t>
      </w:r>
      <w:r w:rsidRPr="00682604">
        <w:rPr>
          <w:lang w:val="en-US"/>
        </w:rPr>
        <w:t xml:space="preserve"> the possible content and essence of the work of the </w:t>
      </w:r>
      <w:proofErr w:type="spellStart"/>
      <w:r w:rsidRPr="00682604">
        <w:rPr>
          <w:lang w:val="en-US"/>
        </w:rPr>
        <w:t>δι</w:t>
      </w:r>
      <w:proofErr w:type="spellEnd"/>
      <w:r w:rsidRPr="00682604">
        <w:rPr>
          <w:lang w:val="en-US"/>
        </w:rPr>
        <w:t>άκονος as leader in the congregation.</w:t>
      </w:r>
      <w:r w:rsidR="00C950E6">
        <w:rPr>
          <w:lang w:val="en-US"/>
        </w:rPr>
        <w:t xml:space="preserve"> </w:t>
      </w:r>
      <w:r w:rsidR="001F7300">
        <w:rPr>
          <w:lang w:val="en-US"/>
        </w:rPr>
        <w:t>Five</w:t>
      </w:r>
      <w:r w:rsidR="00191D8B" w:rsidRPr="00682604">
        <w:rPr>
          <w:lang w:val="en-US"/>
        </w:rPr>
        <w:t xml:space="preserve"> New Testament</w:t>
      </w:r>
      <w:r w:rsidRPr="00682604">
        <w:rPr>
          <w:lang w:val="en-US"/>
        </w:rPr>
        <w:t xml:space="preserve"> </w:t>
      </w:r>
      <w:r w:rsidR="00191D8B" w:rsidRPr="00682604">
        <w:rPr>
          <w:lang w:val="en-US"/>
        </w:rPr>
        <w:t xml:space="preserve">passages will be studied </w:t>
      </w:r>
      <w:r w:rsidRPr="00682604">
        <w:rPr>
          <w:lang w:val="en-US"/>
        </w:rPr>
        <w:t>to determine</w:t>
      </w:r>
      <w:r w:rsidR="00191D8B" w:rsidRPr="00682604">
        <w:rPr>
          <w:lang w:val="en-US"/>
        </w:rPr>
        <w:t xml:space="preserve"> </w:t>
      </w:r>
      <w:r w:rsidRPr="00682604">
        <w:rPr>
          <w:lang w:val="en-US"/>
        </w:rPr>
        <w:t xml:space="preserve">different semantic possibilities in which the </w:t>
      </w:r>
      <w:proofErr w:type="spellStart"/>
      <w:r w:rsidRPr="00682604">
        <w:rPr>
          <w:lang w:val="en-US"/>
        </w:rPr>
        <w:t>δι</w:t>
      </w:r>
      <w:proofErr w:type="spellEnd"/>
      <w:r w:rsidRPr="00682604">
        <w:rPr>
          <w:lang w:val="en-US"/>
        </w:rPr>
        <w:t>άκον- word group occurs.</w:t>
      </w:r>
    </w:p>
    <w:p w14:paraId="459A2457" w14:textId="0F1989A3" w:rsidR="00945599" w:rsidRPr="00682604" w:rsidRDefault="00945599" w:rsidP="00C65ABD">
      <w:pPr>
        <w:pStyle w:val="Heading2"/>
        <w:rPr>
          <w:lang w:val="en-US"/>
        </w:rPr>
      </w:pPr>
      <w:bookmarkStart w:id="16" w:name="_Toc482179320"/>
      <w:bookmarkStart w:id="17" w:name="_Toc476766140"/>
      <w:bookmarkStart w:id="18" w:name="_Toc482565036"/>
      <w:bookmarkStart w:id="19" w:name="_Toc484005320"/>
      <w:bookmarkStart w:id="20" w:name="_Toc493264814"/>
      <w:r w:rsidRPr="00682604">
        <w:rPr>
          <w:lang w:val="en-US"/>
        </w:rPr>
        <w:t>Synthesis of the exegetical results</w:t>
      </w:r>
      <w:bookmarkEnd w:id="16"/>
      <w:bookmarkEnd w:id="17"/>
      <w:bookmarkEnd w:id="18"/>
      <w:bookmarkEnd w:id="19"/>
      <w:bookmarkEnd w:id="20"/>
    </w:p>
    <w:p w14:paraId="4570ECCE" w14:textId="7B086E22" w:rsidR="00945599" w:rsidRPr="00682604" w:rsidRDefault="00777A1F" w:rsidP="002A6040">
      <w:pPr>
        <w:rPr>
          <w:lang w:val="en-US"/>
        </w:rPr>
      </w:pPr>
      <w:r>
        <w:rPr>
          <w:lang w:val="en-US"/>
        </w:rPr>
        <w:t>I have</w:t>
      </w:r>
      <w:r w:rsidR="00F01B97" w:rsidRPr="00682604">
        <w:rPr>
          <w:lang w:val="en-US"/>
        </w:rPr>
        <w:t xml:space="preserve"> done </w:t>
      </w:r>
      <w:r w:rsidR="002A6040" w:rsidRPr="00682604">
        <w:rPr>
          <w:lang w:val="en-US"/>
        </w:rPr>
        <w:t>in</w:t>
      </w:r>
      <w:r w:rsidR="002A6040">
        <w:rPr>
          <w:lang w:val="en-US"/>
        </w:rPr>
        <w:t>-</w:t>
      </w:r>
      <w:r w:rsidR="005D2095">
        <w:rPr>
          <w:lang w:val="en-US"/>
        </w:rPr>
        <w:t>depth exegetical work on</w:t>
      </w:r>
      <w:r w:rsidR="00F01B97" w:rsidRPr="00682604">
        <w:rPr>
          <w:lang w:val="en-US"/>
        </w:rPr>
        <w:t xml:space="preserve"> various </w:t>
      </w:r>
      <w:r w:rsidR="000D2FA8" w:rsidRPr="00682604">
        <w:rPr>
          <w:lang w:val="en-US"/>
        </w:rPr>
        <w:t xml:space="preserve">New Testament </w:t>
      </w:r>
      <w:r w:rsidR="00F01B97" w:rsidRPr="00682604">
        <w:rPr>
          <w:lang w:val="en-US"/>
        </w:rPr>
        <w:t xml:space="preserve">passages where the </w:t>
      </w:r>
      <w:proofErr w:type="spellStart"/>
      <w:r w:rsidR="00F01B97" w:rsidRPr="00682604">
        <w:rPr>
          <w:lang w:val="en-US"/>
        </w:rPr>
        <w:t>δι</w:t>
      </w:r>
      <w:proofErr w:type="spellEnd"/>
      <w:r w:rsidR="00F01B97" w:rsidRPr="00682604">
        <w:rPr>
          <w:lang w:val="en-US"/>
        </w:rPr>
        <w:t>άκον- word group is used</w:t>
      </w:r>
      <w:r w:rsidR="00AB429A">
        <w:rPr>
          <w:lang w:val="en-US"/>
        </w:rPr>
        <w:t>,</w:t>
      </w:r>
      <w:r w:rsidR="000D2FA8" w:rsidRPr="00682604">
        <w:rPr>
          <w:lang w:val="en-US"/>
        </w:rPr>
        <w:t xml:space="preserve"> to establish </w:t>
      </w:r>
      <w:r w:rsidR="00385139" w:rsidRPr="00682604">
        <w:rPr>
          <w:lang w:val="en-US"/>
        </w:rPr>
        <w:t xml:space="preserve">(in some cases, </w:t>
      </w:r>
      <w:r w:rsidR="000D2FA8" w:rsidRPr="00682604">
        <w:rPr>
          <w:lang w:val="en-US"/>
        </w:rPr>
        <w:t xml:space="preserve">from </w:t>
      </w:r>
      <w:r w:rsidR="00682604" w:rsidRPr="00682604">
        <w:rPr>
          <w:lang w:val="en-US"/>
        </w:rPr>
        <w:t>macro</w:t>
      </w:r>
      <w:r w:rsidR="003C5AD0">
        <w:rPr>
          <w:lang w:val="en-US"/>
        </w:rPr>
        <w:t>-</w:t>
      </w:r>
      <w:r w:rsidR="000D2FA8" w:rsidRPr="00682604">
        <w:rPr>
          <w:lang w:val="en-US"/>
        </w:rPr>
        <w:t xml:space="preserve"> and mic</w:t>
      </w:r>
      <w:r w:rsidR="00044F7E" w:rsidRPr="00682604">
        <w:rPr>
          <w:lang w:val="en-US"/>
        </w:rPr>
        <w:t>rostructural analysis</w:t>
      </w:r>
      <w:r w:rsidR="00385139" w:rsidRPr="00682604">
        <w:rPr>
          <w:lang w:val="en-US"/>
        </w:rPr>
        <w:t>)</w:t>
      </w:r>
      <w:r w:rsidR="000978A8" w:rsidRPr="00682604">
        <w:rPr>
          <w:lang w:val="en-US"/>
        </w:rPr>
        <w:t xml:space="preserve"> </w:t>
      </w:r>
      <w:r w:rsidR="00044F7E" w:rsidRPr="00682604">
        <w:rPr>
          <w:lang w:val="en-US"/>
        </w:rPr>
        <w:t xml:space="preserve">what </w:t>
      </w:r>
      <w:r w:rsidR="009E0D52">
        <w:rPr>
          <w:lang w:val="en-US"/>
        </w:rPr>
        <w:t xml:space="preserve">the </w:t>
      </w:r>
      <w:r w:rsidR="00044F7E" w:rsidRPr="00682604">
        <w:rPr>
          <w:lang w:val="en-US"/>
        </w:rPr>
        <w:t xml:space="preserve">meaning </w:t>
      </w:r>
      <w:r w:rsidR="009E0D52">
        <w:rPr>
          <w:lang w:val="en-US"/>
        </w:rPr>
        <w:t xml:space="preserve">of </w:t>
      </w:r>
      <w:r w:rsidR="00044F7E" w:rsidRPr="00682604">
        <w:rPr>
          <w:lang w:val="en-US"/>
        </w:rPr>
        <w:t>the words used in a specific context</w:t>
      </w:r>
      <w:r w:rsidR="005570DB" w:rsidRPr="00682604">
        <w:rPr>
          <w:lang w:val="en-US"/>
        </w:rPr>
        <w:t xml:space="preserve"> </w:t>
      </w:r>
      <w:r w:rsidR="003C5AD0">
        <w:rPr>
          <w:lang w:val="en-US"/>
        </w:rPr>
        <w:t>is</w:t>
      </w:r>
      <w:r w:rsidR="00945599" w:rsidRPr="00682604">
        <w:rPr>
          <w:lang w:val="en-US"/>
        </w:rPr>
        <w:t>.</w:t>
      </w:r>
      <w:r w:rsidR="005570DB" w:rsidRPr="00682604">
        <w:rPr>
          <w:rStyle w:val="FootnoteReference"/>
          <w:rFonts w:ascii="Arial" w:hAnsi="Arial"/>
          <w:lang w:val="en-US"/>
        </w:rPr>
        <w:footnoteReference w:id="16"/>
      </w:r>
      <w:r w:rsidR="00945599" w:rsidRPr="00682604">
        <w:rPr>
          <w:lang w:val="en-US"/>
        </w:rPr>
        <w:t xml:space="preserve"> These results will be used to </w:t>
      </w:r>
      <w:r w:rsidR="002A6040">
        <w:rPr>
          <w:lang w:val="en-US"/>
        </w:rPr>
        <w:t xml:space="preserve">arrive at </w:t>
      </w:r>
      <w:r w:rsidR="002A6040">
        <w:rPr>
          <w:lang w:val="en-US"/>
        </w:rPr>
        <w:lastRenderedPageBreak/>
        <w:t>the closest possible</w:t>
      </w:r>
      <w:r w:rsidR="00945599" w:rsidRPr="00682604">
        <w:rPr>
          <w:lang w:val="en-US"/>
        </w:rPr>
        <w:t xml:space="preserve"> answer to the question what the essence and content of the </w:t>
      </w:r>
      <w:proofErr w:type="spellStart"/>
      <w:r w:rsidR="00945599" w:rsidRPr="00682604">
        <w:rPr>
          <w:iCs/>
          <w:lang w:val="en-US"/>
        </w:rPr>
        <w:t>δι</w:t>
      </w:r>
      <w:proofErr w:type="spellEnd"/>
      <w:r w:rsidR="00945599" w:rsidRPr="00682604">
        <w:rPr>
          <w:iCs/>
          <w:lang w:val="en-US"/>
        </w:rPr>
        <w:t>ακονία</w:t>
      </w:r>
      <w:r w:rsidR="00945599" w:rsidRPr="00682604">
        <w:rPr>
          <w:lang w:val="en-US"/>
        </w:rPr>
        <w:t xml:space="preserve"> of the </w:t>
      </w:r>
      <w:proofErr w:type="spellStart"/>
      <w:r w:rsidR="00945599" w:rsidRPr="00682604">
        <w:rPr>
          <w:lang w:val="en-US"/>
        </w:rPr>
        <w:t>δι</w:t>
      </w:r>
      <w:proofErr w:type="spellEnd"/>
      <w:r w:rsidR="00945599" w:rsidRPr="00682604">
        <w:rPr>
          <w:lang w:val="en-US"/>
        </w:rPr>
        <w:t xml:space="preserve">άκονος </w:t>
      </w:r>
      <w:r w:rsidR="003C5AD0">
        <w:rPr>
          <w:lang w:val="en-US"/>
        </w:rPr>
        <w:t>could</w:t>
      </w:r>
      <w:r w:rsidR="00945599" w:rsidRPr="00682604">
        <w:rPr>
          <w:lang w:val="en-US"/>
        </w:rPr>
        <w:t xml:space="preserve"> possibly be according to the sections investigated. When the semantic possibilities in which the </w:t>
      </w:r>
      <w:proofErr w:type="spellStart"/>
      <w:r w:rsidR="00945599" w:rsidRPr="00682604">
        <w:rPr>
          <w:lang w:val="en-US"/>
        </w:rPr>
        <w:t>δι</w:t>
      </w:r>
      <w:proofErr w:type="spellEnd"/>
      <w:r w:rsidR="00945599" w:rsidRPr="00682604">
        <w:rPr>
          <w:lang w:val="en-US"/>
        </w:rPr>
        <w:t>άκον- word group occurs are taken into account</w:t>
      </w:r>
      <w:r w:rsidR="009E0D52">
        <w:rPr>
          <w:lang w:val="en-US"/>
        </w:rPr>
        <w:t>,</w:t>
      </w:r>
      <w:r w:rsidR="00945599" w:rsidRPr="00682604">
        <w:rPr>
          <w:lang w:val="en-US"/>
        </w:rPr>
        <w:t xml:space="preserve"> the research question </w:t>
      </w:r>
      <w:r w:rsidR="0003537F">
        <w:rPr>
          <w:lang w:val="en-US"/>
        </w:rPr>
        <w:t xml:space="preserve">of this part of the article </w:t>
      </w:r>
      <w:r w:rsidR="00945599" w:rsidRPr="00682604">
        <w:rPr>
          <w:lang w:val="en-US"/>
        </w:rPr>
        <w:t xml:space="preserve">can be formulated as follows: </w:t>
      </w:r>
      <w:r w:rsidR="007A0FFE" w:rsidRPr="00682604">
        <w:rPr>
          <w:lang w:val="en-US"/>
        </w:rPr>
        <w:t>In view of</w:t>
      </w:r>
      <w:r w:rsidR="004C74FD" w:rsidRPr="00682604">
        <w:rPr>
          <w:lang w:val="en-US"/>
        </w:rPr>
        <w:t xml:space="preserve"> the meaning of the </w:t>
      </w:r>
      <w:proofErr w:type="spellStart"/>
      <w:r w:rsidR="004C74FD" w:rsidRPr="00682604">
        <w:rPr>
          <w:lang w:val="en-US"/>
        </w:rPr>
        <w:t>δι</w:t>
      </w:r>
      <w:proofErr w:type="spellEnd"/>
      <w:r w:rsidR="004C74FD" w:rsidRPr="00682604">
        <w:rPr>
          <w:lang w:val="en-US"/>
        </w:rPr>
        <w:t xml:space="preserve">άκον- word group, what semantic possibility or possibilities that are part of these concepts are </w:t>
      </w:r>
      <w:r w:rsidR="00682604" w:rsidRPr="00682604">
        <w:rPr>
          <w:lang w:val="en-US"/>
        </w:rPr>
        <w:t>actualized</w:t>
      </w:r>
      <w:r w:rsidR="00385139" w:rsidRPr="00682604">
        <w:rPr>
          <w:lang w:val="en-US"/>
        </w:rPr>
        <w:t xml:space="preserve"> in a specific New Testament</w:t>
      </w:r>
      <w:r w:rsidR="004C74FD" w:rsidRPr="00682604">
        <w:rPr>
          <w:lang w:val="en-US"/>
        </w:rPr>
        <w:t xml:space="preserve"> section; and w</w:t>
      </w:r>
      <w:r w:rsidR="00945599" w:rsidRPr="00682604">
        <w:rPr>
          <w:lang w:val="en-US"/>
        </w:rPr>
        <w:t>hat image could the word</w:t>
      </w:r>
      <w:r w:rsidR="004C74FD" w:rsidRPr="00682604">
        <w:rPr>
          <w:lang w:val="en-US"/>
        </w:rPr>
        <w:t>s</w:t>
      </w:r>
      <w:r w:rsidR="00945599" w:rsidRPr="00682604">
        <w:rPr>
          <w:lang w:val="en-US"/>
        </w:rPr>
        <w:t xml:space="preserve"> </w:t>
      </w:r>
      <w:proofErr w:type="spellStart"/>
      <w:r w:rsidR="004C74FD" w:rsidRPr="00682604">
        <w:rPr>
          <w:iCs/>
          <w:lang w:val="en-US"/>
        </w:rPr>
        <w:t>δι</w:t>
      </w:r>
      <w:proofErr w:type="spellEnd"/>
      <w:r w:rsidR="004C74FD" w:rsidRPr="00682604">
        <w:rPr>
          <w:iCs/>
          <w:lang w:val="en-US"/>
        </w:rPr>
        <w:t>ακονία</w:t>
      </w:r>
      <w:r w:rsidR="004C74FD" w:rsidRPr="00682604" w:rsidDel="004C74FD">
        <w:rPr>
          <w:lang w:val="en-US"/>
        </w:rPr>
        <w:t xml:space="preserve"> </w:t>
      </w:r>
      <w:r w:rsidR="004C74FD" w:rsidRPr="00682604">
        <w:rPr>
          <w:lang w:val="en-US"/>
        </w:rPr>
        <w:t xml:space="preserve">or </w:t>
      </w:r>
      <w:proofErr w:type="spellStart"/>
      <w:r w:rsidR="004C74FD" w:rsidRPr="00682604">
        <w:rPr>
          <w:lang w:val="en-US"/>
        </w:rPr>
        <w:t>δι</w:t>
      </w:r>
      <w:proofErr w:type="spellEnd"/>
      <w:r w:rsidR="004C74FD" w:rsidRPr="00682604">
        <w:rPr>
          <w:lang w:val="en-US"/>
        </w:rPr>
        <w:t>ακονέω</w:t>
      </w:r>
      <w:r w:rsidR="004C74FD" w:rsidRPr="00682604" w:rsidDel="004C74FD">
        <w:rPr>
          <w:lang w:val="en-US"/>
        </w:rPr>
        <w:t xml:space="preserve"> </w:t>
      </w:r>
      <w:r w:rsidR="00945599" w:rsidRPr="00682604">
        <w:rPr>
          <w:lang w:val="en-US"/>
        </w:rPr>
        <w:t xml:space="preserve">possibly have evoked in the author and reader of that specific section; or, what concept of </w:t>
      </w:r>
      <w:r w:rsidR="00385139" w:rsidRPr="00682604">
        <w:rPr>
          <w:lang w:val="en-US"/>
        </w:rPr>
        <w:t xml:space="preserve">the work of </w:t>
      </w:r>
      <w:r w:rsidR="00945599" w:rsidRPr="00682604">
        <w:rPr>
          <w:lang w:val="en-US"/>
        </w:rPr>
        <w:t xml:space="preserve">a </w:t>
      </w:r>
      <w:proofErr w:type="spellStart"/>
      <w:r w:rsidR="00945599" w:rsidRPr="00682604">
        <w:rPr>
          <w:lang w:val="en-US"/>
        </w:rPr>
        <w:t>δι</w:t>
      </w:r>
      <w:proofErr w:type="spellEnd"/>
      <w:r w:rsidR="00945599" w:rsidRPr="00682604">
        <w:rPr>
          <w:lang w:val="en-US"/>
        </w:rPr>
        <w:t xml:space="preserve">άκονος </w:t>
      </w:r>
      <w:r w:rsidR="00945599" w:rsidRPr="00682604">
        <w:rPr>
          <w:iCs/>
          <w:lang w:val="en-US"/>
        </w:rPr>
        <w:t>could possibly have lived in the mind of the authors and readers</w:t>
      </w:r>
      <w:r w:rsidR="00915E62">
        <w:rPr>
          <w:iCs/>
          <w:lang w:val="en-US"/>
        </w:rPr>
        <w:t>?</w:t>
      </w:r>
      <w:r w:rsidR="00945599" w:rsidRPr="00682604">
        <w:rPr>
          <w:iCs/>
          <w:lang w:val="en-US"/>
        </w:rPr>
        <w:t xml:space="preserve"> From the </w:t>
      </w:r>
      <w:r w:rsidR="003C5AD0">
        <w:rPr>
          <w:iCs/>
          <w:lang w:val="en-US"/>
        </w:rPr>
        <w:t>answer</w:t>
      </w:r>
      <w:r w:rsidR="00915E62">
        <w:rPr>
          <w:iCs/>
          <w:lang w:val="en-US"/>
        </w:rPr>
        <w:t xml:space="preserve"> to this </w:t>
      </w:r>
      <w:r w:rsidR="007C237B">
        <w:rPr>
          <w:iCs/>
          <w:lang w:val="en-US"/>
        </w:rPr>
        <w:t>research</w:t>
      </w:r>
      <w:r w:rsidR="00915E62">
        <w:rPr>
          <w:iCs/>
          <w:lang w:val="en-US"/>
        </w:rPr>
        <w:t xml:space="preserve"> question</w:t>
      </w:r>
      <w:r w:rsidR="00945599" w:rsidRPr="00682604">
        <w:rPr>
          <w:iCs/>
          <w:lang w:val="en-US"/>
        </w:rPr>
        <w:t xml:space="preserve">, conclusions will be made about the possible essence and content of </w:t>
      </w:r>
      <w:r w:rsidR="004C74FD" w:rsidRPr="00682604">
        <w:rPr>
          <w:iCs/>
          <w:lang w:val="en-US"/>
        </w:rPr>
        <w:t xml:space="preserve">the </w:t>
      </w:r>
      <w:proofErr w:type="spellStart"/>
      <w:r w:rsidR="004C74FD" w:rsidRPr="00682604">
        <w:rPr>
          <w:iCs/>
          <w:lang w:val="en-US"/>
        </w:rPr>
        <w:t>δι</w:t>
      </w:r>
      <w:proofErr w:type="spellEnd"/>
      <w:r w:rsidR="004C74FD" w:rsidRPr="00682604">
        <w:rPr>
          <w:iCs/>
          <w:lang w:val="en-US"/>
        </w:rPr>
        <w:t>ακονία</w:t>
      </w:r>
      <w:r w:rsidR="00F01B97" w:rsidRPr="00682604">
        <w:rPr>
          <w:iCs/>
          <w:lang w:val="en-US"/>
        </w:rPr>
        <w:t xml:space="preserve"> of the </w:t>
      </w:r>
      <w:proofErr w:type="spellStart"/>
      <w:r w:rsidR="00F01B97" w:rsidRPr="00682604">
        <w:rPr>
          <w:lang w:val="en-US"/>
        </w:rPr>
        <w:t>δι</w:t>
      </w:r>
      <w:proofErr w:type="spellEnd"/>
      <w:r w:rsidR="00F01B97" w:rsidRPr="00682604">
        <w:rPr>
          <w:lang w:val="en-US"/>
        </w:rPr>
        <w:t>άκονος</w:t>
      </w:r>
      <w:r w:rsidR="00044F7E" w:rsidRPr="00682604">
        <w:rPr>
          <w:lang w:val="en-US"/>
        </w:rPr>
        <w:t xml:space="preserve"> in the New Testament</w:t>
      </w:r>
      <w:r w:rsidR="004C74FD" w:rsidRPr="00682604">
        <w:rPr>
          <w:iCs/>
          <w:lang w:val="en-US"/>
        </w:rPr>
        <w:t>.</w:t>
      </w:r>
      <w:r w:rsidR="004C74FD" w:rsidRPr="00682604" w:rsidDel="004C74FD">
        <w:rPr>
          <w:iCs/>
          <w:lang w:val="en-US"/>
        </w:rPr>
        <w:t xml:space="preserve"> </w:t>
      </w:r>
    </w:p>
    <w:p w14:paraId="18397474" w14:textId="1C5DC4B1" w:rsidR="00945599" w:rsidRDefault="00945599" w:rsidP="00C65ABD">
      <w:pPr>
        <w:pStyle w:val="Heading3"/>
        <w:rPr>
          <w:b w:val="0"/>
          <w:lang w:val="en-US"/>
        </w:rPr>
      </w:pPr>
      <w:bookmarkStart w:id="21" w:name="_Toc482179321"/>
      <w:bookmarkStart w:id="22" w:name="_Toc476766141"/>
      <w:bookmarkStart w:id="23" w:name="_Toc482565037"/>
      <w:bookmarkStart w:id="24" w:name="_Toc484005321"/>
      <w:bookmarkStart w:id="25" w:name="_Toc493264815"/>
      <w:r w:rsidRPr="001F7300">
        <w:rPr>
          <w:b w:val="0"/>
          <w:lang w:val="en-US"/>
        </w:rPr>
        <w:t>Ephesians</w:t>
      </w:r>
      <w:bookmarkEnd w:id="21"/>
      <w:bookmarkEnd w:id="22"/>
      <w:bookmarkEnd w:id="23"/>
      <w:bookmarkEnd w:id="24"/>
      <w:bookmarkEnd w:id="25"/>
    </w:p>
    <w:p w14:paraId="544F890D" w14:textId="1FC5473E" w:rsidR="0003537F" w:rsidRPr="001028B8" w:rsidRDefault="0018466B" w:rsidP="002A6040">
      <w:pPr>
        <w:rPr>
          <w:lang w:val="en-US"/>
        </w:rPr>
      </w:pPr>
      <w:r>
        <w:rPr>
          <w:lang w:val="en-US"/>
        </w:rPr>
        <w:t xml:space="preserve">The </w:t>
      </w:r>
      <w:proofErr w:type="spellStart"/>
      <w:r w:rsidR="001028B8" w:rsidRPr="001028B8">
        <w:rPr>
          <w:lang w:val="en-US"/>
        </w:rPr>
        <w:t>δι</w:t>
      </w:r>
      <w:proofErr w:type="spellEnd"/>
      <w:r w:rsidR="001028B8" w:rsidRPr="001028B8">
        <w:rPr>
          <w:lang w:val="en-US"/>
        </w:rPr>
        <w:t>άκον- word</w:t>
      </w:r>
      <w:r w:rsidR="001028B8">
        <w:rPr>
          <w:lang w:val="en-US"/>
        </w:rPr>
        <w:t>s</w:t>
      </w:r>
      <w:r w:rsidR="00B60514">
        <w:rPr>
          <w:lang w:val="en-US"/>
        </w:rPr>
        <w:t xml:space="preserve"> </w:t>
      </w:r>
      <w:r w:rsidR="002A6040">
        <w:rPr>
          <w:lang w:val="en-US"/>
        </w:rPr>
        <w:t>are</w:t>
      </w:r>
      <w:r w:rsidR="00B60514">
        <w:rPr>
          <w:lang w:val="en-US"/>
        </w:rPr>
        <w:t xml:space="preserve"> used in Ephesians 3:7, 4:12 and 6:21. In 3:7</w:t>
      </w:r>
      <w:r w:rsidR="002A6040">
        <w:rPr>
          <w:lang w:val="en-US"/>
        </w:rPr>
        <w:t>,</w:t>
      </w:r>
      <w:r w:rsidR="00B60514">
        <w:rPr>
          <w:lang w:val="en-US"/>
        </w:rPr>
        <w:t xml:space="preserve"> it describes the calling of Paul to bring the gospel to the Gentiles. In 4:12</w:t>
      </w:r>
      <w:r w:rsidR="002A6040">
        <w:rPr>
          <w:lang w:val="en-US"/>
        </w:rPr>
        <w:t>,</w:t>
      </w:r>
      <w:r w:rsidR="00B60514">
        <w:rPr>
          <w:lang w:val="en-US"/>
        </w:rPr>
        <w:t xml:space="preserve"> it describes the </w:t>
      </w:r>
      <w:proofErr w:type="spellStart"/>
      <w:r w:rsidR="00B60514" w:rsidRPr="00B60514">
        <w:rPr>
          <w:lang w:val="en-US"/>
        </w:rPr>
        <w:t>δι</w:t>
      </w:r>
      <w:proofErr w:type="spellEnd"/>
      <w:r w:rsidR="00B60514" w:rsidRPr="00B60514">
        <w:rPr>
          <w:lang w:val="en-US"/>
        </w:rPr>
        <w:t>ακονία</w:t>
      </w:r>
      <w:r w:rsidR="00B60514">
        <w:rPr>
          <w:lang w:val="en-US"/>
        </w:rPr>
        <w:t xml:space="preserve"> of the believers and in 6:21</w:t>
      </w:r>
      <w:r w:rsidR="002A6040">
        <w:rPr>
          <w:lang w:val="en-US"/>
        </w:rPr>
        <w:t>,</w:t>
      </w:r>
      <w:r w:rsidR="00B60514">
        <w:rPr>
          <w:lang w:val="en-US"/>
        </w:rPr>
        <w:t xml:space="preserve"> the work of </w:t>
      </w:r>
      <w:proofErr w:type="spellStart"/>
      <w:r w:rsidR="00B60514">
        <w:rPr>
          <w:lang w:val="en-US"/>
        </w:rPr>
        <w:t>Tychicus</w:t>
      </w:r>
      <w:proofErr w:type="spellEnd"/>
      <w:r w:rsidR="00B60514">
        <w:rPr>
          <w:lang w:val="en-US"/>
        </w:rPr>
        <w:t>.</w:t>
      </w:r>
    </w:p>
    <w:p w14:paraId="6F3542E8" w14:textId="2C0E54D4" w:rsidR="00945599" w:rsidRPr="00682604" w:rsidRDefault="00945599" w:rsidP="00915E62">
      <w:pPr>
        <w:rPr>
          <w:lang w:val="en-US"/>
        </w:rPr>
      </w:pPr>
      <w:r w:rsidRPr="00682604">
        <w:rPr>
          <w:lang w:val="en-US"/>
        </w:rPr>
        <w:t xml:space="preserve">From </w:t>
      </w:r>
      <w:r w:rsidR="0003537F">
        <w:rPr>
          <w:lang w:val="en-US"/>
        </w:rPr>
        <w:t>my</w:t>
      </w:r>
      <w:r w:rsidRPr="00682604">
        <w:rPr>
          <w:lang w:val="en-US"/>
        </w:rPr>
        <w:t xml:space="preserve"> research on the meaning of the </w:t>
      </w:r>
      <w:proofErr w:type="spellStart"/>
      <w:r w:rsidRPr="00682604">
        <w:rPr>
          <w:lang w:val="en-US"/>
        </w:rPr>
        <w:t>δι</w:t>
      </w:r>
      <w:proofErr w:type="spellEnd"/>
      <w:r w:rsidRPr="00682604">
        <w:rPr>
          <w:lang w:val="en-US"/>
        </w:rPr>
        <w:t>άκον- word group in Ephesians,</w:t>
      </w:r>
      <w:r w:rsidR="007A0FFE" w:rsidRPr="00682604">
        <w:rPr>
          <w:rStyle w:val="FootnoteReference"/>
          <w:rFonts w:ascii="Arial" w:hAnsi="Arial"/>
          <w:lang w:val="en-US"/>
        </w:rPr>
        <w:footnoteReference w:id="17"/>
      </w:r>
      <w:r w:rsidRPr="00682604">
        <w:rPr>
          <w:lang w:val="en-US"/>
        </w:rPr>
        <w:t xml:space="preserve"> it has become clear that the </w:t>
      </w:r>
      <w:r w:rsidR="003565D2" w:rsidRPr="00682604">
        <w:rPr>
          <w:lang w:val="en-US"/>
        </w:rPr>
        <w:t xml:space="preserve">triune </w:t>
      </w:r>
      <w:r w:rsidRPr="00682604">
        <w:rPr>
          <w:lang w:val="en-US"/>
        </w:rPr>
        <w:t>God executes his eternal plan through the work of the Father, the Son and the Holy Spirit, who make it possible for people to be freed from the power of the prince of evil and from their own sinful desires and live a new life in Christ</w:t>
      </w:r>
      <w:r w:rsidR="007A0FFE" w:rsidRPr="00682604">
        <w:rPr>
          <w:lang w:val="en-US"/>
        </w:rPr>
        <w:t>.</w:t>
      </w:r>
      <w:r w:rsidR="007A0FFE" w:rsidRPr="00682604">
        <w:rPr>
          <w:rStyle w:val="FootnoteReference"/>
          <w:rFonts w:ascii="Arial" w:hAnsi="Arial"/>
          <w:lang w:val="en-US"/>
        </w:rPr>
        <w:footnoteReference w:id="18"/>
      </w:r>
      <w:r w:rsidRPr="00682604">
        <w:rPr>
          <w:lang w:val="en-US"/>
        </w:rPr>
        <w:t xml:space="preserve"> The church came into </w:t>
      </w:r>
      <w:r w:rsidRPr="00682604">
        <w:rPr>
          <w:lang w:val="en-US"/>
        </w:rPr>
        <w:lastRenderedPageBreak/>
        <w:t>existence through the fundamental work</w:t>
      </w:r>
      <w:r w:rsidR="00AB429A">
        <w:rPr>
          <w:lang w:val="en-US"/>
        </w:rPr>
        <w:t xml:space="preserve"> (</w:t>
      </w:r>
      <w:proofErr w:type="spellStart"/>
      <w:r w:rsidR="00AB429A" w:rsidRPr="00682604">
        <w:rPr>
          <w:lang w:val="en-US"/>
        </w:rPr>
        <w:t>δι</w:t>
      </w:r>
      <w:proofErr w:type="spellEnd"/>
      <w:r w:rsidR="00AB429A" w:rsidRPr="00682604">
        <w:rPr>
          <w:lang w:val="en-US"/>
        </w:rPr>
        <w:t>ακονία</w:t>
      </w:r>
      <w:r w:rsidR="00AB429A">
        <w:rPr>
          <w:lang w:val="en-US"/>
        </w:rPr>
        <w:t>)</w:t>
      </w:r>
      <w:r w:rsidRPr="00682604">
        <w:rPr>
          <w:lang w:val="en-US"/>
        </w:rPr>
        <w:t xml:space="preserve"> of the apostles. The purpose of the church is to exist to the praise and glory of God’s grace and to make the wisdom of God known to all in this world</w:t>
      </w:r>
      <w:r w:rsidR="00AB429A">
        <w:rPr>
          <w:lang w:val="en-US"/>
        </w:rPr>
        <w:t xml:space="preserve"> (2:7;</w:t>
      </w:r>
      <w:r w:rsidR="002A6040">
        <w:rPr>
          <w:lang w:val="en-US"/>
        </w:rPr>
        <w:t xml:space="preserve"> </w:t>
      </w:r>
      <w:r w:rsidR="00AB429A">
        <w:rPr>
          <w:lang w:val="en-US"/>
        </w:rPr>
        <w:t>3:10</w:t>
      </w:r>
      <w:r w:rsidR="007C237B">
        <w:rPr>
          <w:lang w:val="en-US"/>
        </w:rPr>
        <w:t xml:space="preserve">). </w:t>
      </w:r>
      <w:r w:rsidRPr="00682604">
        <w:rPr>
          <w:lang w:val="en-US"/>
        </w:rPr>
        <w:t xml:space="preserve">The purpose of the church can also be described as the continuous performance of the good deeds that God has prepared for </w:t>
      </w:r>
      <w:r w:rsidR="00915E62">
        <w:rPr>
          <w:lang w:val="en-US"/>
        </w:rPr>
        <w:t>believers</w:t>
      </w:r>
      <w:r w:rsidRPr="00682604">
        <w:rPr>
          <w:lang w:val="en-US"/>
        </w:rPr>
        <w:t xml:space="preserve"> as part of their lives</w:t>
      </w:r>
      <w:r w:rsidR="00AB429A">
        <w:rPr>
          <w:lang w:val="en-US"/>
        </w:rPr>
        <w:t xml:space="preserve"> (2:10)</w:t>
      </w:r>
      <w:r w:rsidR="002916E9" w:rsidRPr="00682604">
        <w:rPr>
          <w:lang w:val="en-US"/>
        </w:rPr>
        <w:t>.</w:t>
      </w:r>
      <w:r w:rsidR="002916E9" w:rsidRPr="00682604">
        <w:rPr>
          <w:rStyle w:val="FootnoteReference"/>
          <w:rFonts w:ascii="Arial" w:hAnsi="Arial"/>
          <w:lang w:val="en-US"/>
        </w:rPr>
        <w:footnoteReference w:id="19"/>
      </w:r>
      <w:r w:rsidRPr="00682604">
        <w:rPr>
          <w:lang w:val="en-US"/>
        </w:rPr>
        <w:t xml:space="preserve"> Through the good deeds</w:t>
      </w:r>
      <w:r w:rsidR="002A6040">
        <w:rPr>
          <w:lang w:val="en-US"/>
        </w:rPr>
        <w:t>,</w:t>
      </w:r>
      <w:r w:rsidRPr="00682604">
        <w:rPr>
          <w:lang w:val="en-US"/>
        </w:rPr>
        <w:t xml:space="preserve"> the Lord can bring people to faith and make them part of the congregation</w:t>
      </w:r>
      <w:r w:rsidR="00AB429A">
        <w:rPr>
          <w:lang w:val="en-US"/>
        </w:rPr>
        <w:t xml:space="preserve"> (3:7)</w:t>
      </w:r>
      <w:r w:rsidR="002916E9" w:rsidRPr="00682604">
        <w:rPr>
          <w:lang w:val="en-US"/>
        </w:rPr>
        <w:t>.</w:t>
      </w:r>
      <w:r w:rsidR="002916E9" w:rsidRPr="00682604">
        <w:rPr>
          <w:rStyle w:val="FootnoteReference"/>
          <w:rFonts w:ascii="Arial" w:hAnsi="Arial"/>
          <w:lang w:val="en-US"/>
        </w:rPr>
        <w:footnoteReference w:id="20"/>
      </w:r>
      <w:r w:rsidR="001B46D7" w:rsidRPr="00682604">
        <w:rPr>
          <w:lang w:val="en-US"/>
        </w:rPr>
        <w:t xml:space="preserve"> </w:t>
      </w:r>
    </w:p>
    <w:p w14:paraId="6954A408" w14:textId="610BCE1C" w:rsidR="00945599" w:rsidRPr="00682604" w:rsidRDefault="00945599" w:rsidP="00FD0506">
      <w:pPr>
        <w:rPr>
          <w:lang w:val="en-US"/>
        </w:rPr>
      </w:pPr>
      <w:r w:rsidRPr="00682604">
        <w:rPr>
          <w:lang w:val="en-US"/>
        </w:rPr>
        <w:t xml:space="preserve">The </w:t>
      </w:r>
      <w:proofErr w:type="spellStart"/>
      <w:r w:rsidRPr="00682604">
        <w:rPr>
          <w:lang w:val="en-US"/>
        </w:rPr>
        <w:t>δι</w:t>
      </w:r>
      <w:proofErr w:type="spellEnd"/>
      <w:r w:rsidRPr="00682604">
        <w:rPr>
          <w:lang w:val="en-US"/>
        </w:rPr>
        <w:t>ακονία of all believers plays a vital role in the execution of God’s plan to unite all things under the one head</w:t>
      </w:r>
      <w:r w:rsidR="00915E62">
        <w:rPr>
          <w:lang w:val="en-US"/>
        </w:rPr>
        <w:t>,</w:t>
      </w:r>
      <w:r w:rsidRPr="00682604">
        <w:rPr>
          <w:lang w:val="en-US"/>
        </w:rPr>
        <w:t xml:space="preserve"> Christ</w:t>
      </w:r>
      <w:r w:rsidR="004B7401" w:rsidRPr="00682604">
        <w:rPr>
          <w:lang w:val="en-US"/>
        </w:rPr>
        <w:t xml:space="preserve"> </w:t>
      </w:r>
      <w:r w:rsidR="00CB1CC8" w:rsidRPr="00682604">
        <w:rPr>
          <w:lang w:val="en-US"/>
        </w:rPr>
        <w:t>(1:10</w:t>
      </w:r>
      <w:r w:rsidR="002916E9" w:rsidRPr="00682604">
        <w:rPr>
          <w:lang w:val="en-US"/>
        </w:rPr>
        <w:t>).</w:t>
      </w:r>
      <w:r w:rsidR="002916E9" w:rsidRPr="00682604">
        <w:rPr>
          <w:rStyle w:val="FootnoteReference"/>
          <w:rFonts w:ascii="Arial" w:hAnsi="Arial"/>
          <w:lang w:val="en-US"/>
        </w:rPr>
        <w:footnoteReference w:id="21"/>
      </w:r>
      <w:r w:rsidR="00CB1CC8" w:rsidRPr="00682604">
        <w:rPr>
          <w:lang w:val="en-US"/>
        </w:rPr>
        <w:t xml:space="preserve"> </w:t>
      </w:r>
      <w:r w:rsidRPr="00682604">
        <w:rPr>
          <w:lang w:val="en-US"/>
        </w:rPr>
        <w:t xml:space="preserve">The </w:t>
      </w:r>
      <w:proofErr w:type="spellStart"/>
      <w:r w:rsidRPr="00682604">
        <w:rPr>
          <w:lang w:val="en-US"/>
        </w:rPr>
        <w:t>δι</w:t>
      </w:r>
      <w:proofErr w:type="spellEnd"/>
      <w:r w:rsidRPr="00682604">
        <w:rPr>
          <w:lang w:val="en-US"/>
        </w:rPr>
        <w:t xml:space="preserve">ακονία of the apostles </w:t>
      </w:r>
      <w:r w:rsidR="00D1595D">
        <w:rPr>
          <w:lang w:val="en-US"/>
        </w:rPr>
        <w:t>was</w:t>
      </w:r>
      <w:r w:rsidRPr="00682604">
        <w:rPr>
          <w:lang w:val="en-US"/>
        </w:rPr>
        <w:t xml:space="preserve"> used by God to establish the church; the </w:t>
      </w:r>
      <w:proofErr w:type="spellStart"/>
      <w:r w:rsidRPr="00682604">
        <w:rPr>
          <w:lang w:val="en-US"/>
        </w:rPr>
        <w:t>δι</w:t>
      </w:r>
      <w:proofErr w:type="spellEnd"/>
      <w:r w:rsidRPr="00682604">
        <w:rPr>
          <w:lang w:val="en-US"/>
        </w:rPr>
        <w:t>ακονία</w:t>
      </w:r>
      <w:r w:rsidRPr="00682604">
        <w:rPr>
          <w:iCs/>
          <w:lang w:val="en-US"/>
        </w:rPr>
        <w:t xml:space="preserve"> of the special services (offices) is used by God to equip believers for their service</w:t>
      </w:r>
      <w:r w:rsidR="002916E9" w:rsidRPr="00682604">
        <w:rPr>
          <w:iCs/>
          <w:lang w:val="en-US"/>
        </w:rPr>
        <w:t>.</w:t>
      </w:r>
      <w:r w:rsidR="002916E9" w:rsidRPr="00682604">
        <w:rPr>
          <w:rStyle w:val="FootnoteReference"/>
          <w:rFonts w:ascii="Arial" w:hAnsi="Arial"/>
          <w:iCs/>
          <w:lang w:val="en-US"/>
        </w:rPr>
        <w:footnoteReference w:id="22"/>
      </w:r>
      <w:r w:rsidRPr="00682604">
        <w:rPr>
          <w:iCs/>
          <w:lang w:val="en-US"/>
        </w:rPr>
        <w:t xml:space="preserve"> The </w:t>
      </w:r>
      <w:proofErr w:type="spellStart"/>
      <w:r w:rsidRPr="00682604">
        <w:rPr>
          <w:lang w:val="en-US"/>
        </w:rPr>
        <w:t>δι</w:t>
      </w:r>
      <w:proofErr w:type="spellEnd"/>
      <w:r w:rsidRPr="00682604">
        <w:rPr>
          <w:lang w:val="en-US"/>
        </w:rPr>
        <w:t>ακονία of the believers is used by God to promote the church’s growth to maturity</w:t>
      </w:r>
      <w:r w:rsidR="00AB429A">
        <w:rPr>
          <w:lang w:val="en-US"/>
        </w:rPr>
        <w:t xml:space="preserve"> (4:12</w:t>
      </w:r>
      <w:r w:rsidR="00FD0506">
        <w:rPr>
          <w:rFonts w:cs="Times New Roman"/>
          <w:lang w:val="en-US"/>
        </w:rPr>
        <w:t>‒</w:t>
      </w:r>
      <w:r w:rsidR="00AB429A">
        <w:rPr>
          <w:lang w:val="en-US"/>
        </w:rPr>
        <w:t>16)</w:t>
      </w:r>
      <w:r w:rsidRPr="00682604">
        <w:rPr>
          <w:lang w:val="en-US"/>
        </w:rPr>
        <w:t xml:space="preserve">. The </w:t>
      </w:r>
      <w:proofErr w:type="spellStart"/>
      <w:r w:rsidRPr="00682604">
        <w:rPr>
          <w:lang w:val="en-US"/>
        </w:rPr>
        <w:t>δι</w:t>
      </w:r>
      <w:proofErr w:type="spellEnd"/>
      <w:r w:rsidRPr="00682604">
        <w:rPr>
          <w:lang w:val="en-US"/>
        </w:rPr>
        <w:t xml:space="preserve">ακονία of the church is the ministry of the grace that Christ measures out to </w:t>
      </w:r>
      <w:proofErr w:type="spellStart"/>
      <w:r w:rsidRPr="00682604">
        <w:rPr>
          <w:lang w:val="en-US"/>
        </w:rPr>
        <w:t>everyone</w:t>
      </w:r>
      <w:proofErr w:type="spellEnd"/>
      <w:r w:rsidRPr="00682604">
        <w:rPr>
          <w:lang w:val="en-US"/>
        </w:rPr>
        <w:t xml:space="preserve"> of them</w:t>
      </w:r>
      <w:r w:rsidR="00AB429A">
        <w:rPr>
          <w:lang w:val="en-US"/>
        </w:rPr>
        <w:t xml:space="preserve"> (4:7)</w:t>
      </w:r>
      <w:r w:rsidR="00E04218" w:rsidRPr="00682604">
        <w:rPr>
          <w:lang w:val="en-US"/>
        </w:rPr>
        <w:t>.</w:t>
      </w:r>
      <w:r w:rsidR="00E04218" w:rsidRPr="00682604">
        <w:rPr>
          <w:rStyle w:val="FootnoteReference"/>
          <w:rFonts w:ascii="Arial" w:hAnsi="Arial"/>
          <w:lang w:val="en-US"/>
        </w:rPr>
        <w:footnoteReference w:id="23"/>
      </w:r>
      <w:r w:rsidRPr="00682604">
        <w:rPr>
          <w:lang w:val="en-US"/>
        </w:rPr>
        <w:t xml:space="preserve"> Christ gives special gifts to the church to equip them for their </w:t>
      </w:r>
      <w:proofErr w:type="spellStart"/>
      <w:r w:rsidRPr="00682604">
        <w:rPr>
          <w:lang w:val="en-US"/>
        </w:rPr>
        <w:t>δι</w:t>
      </w:r>
      <w:proofErr w:type="spellEnd"/>
      <w:r w:rsidRPr="00682604">
        <w:rPr>
          <w:lang w:val="en-US"/>
        </w:rPr>
        <w:t>ακονία</w:t>
      </w:r>
      <w:r w:rsidR="004B7401" w:rsidRPr="00682604">
        <w:rPr>
          <w:lang w:val="en-US"/>
        </w:rPr>
        <w:t xml:space="preserve"> (4:12)</w:t>
      </w:r>
      <w:r w:rsidRPr="00682604">
        <w:rPr>
          <w:lang w:val="en-US"/>
        </w:rPr>
        <w:t xml:space="preserve">. When believers are equipped for their </w:t>
      </w:r>
      <w:proofErr w:type="spellStart"/>
      <w:r w:rsidRPr="00682604">
        <w:rPr>
          <w:lang w:val="en-US"/>
        </w:rPr>
        <w:t>δι</w:t>
      </w:r>
      <w:proofErr w:type="spellEnd"/>
      <w:r w:rsidRPr="00682604">
        <w:rPr>
          <w:lang w:val="en-US"/>
        </w:rPr>
        <w:t>ακονία and they do it, they grow to maturity to become increasingly like Christ and less vulnerable to t</w:t>
      </w:r>
      <w:r w:rsidR="008919D1">
        <w:rPr>
          <w:lang w:val="en-US"/>
        </w:rPr>
        <w:t>he temptation of false doctrine (</w:t>
      </w:r>
      <w:proofErr w:type="spellStart"/>
      <w:r w:rsidR="008919D1" w:rsidRPr="00256BDA">
        <w:t>Eph</w:t>
      </w:r>
      <w:proofErr w:type="spellEnd"/>
      <w:r w:rsidR="008919D1" w:rsidRPr="00256BDA">
        <w:t xml:space="preserve"> 4:15,</w:t>
      </w:r>
      <w:r w:rsidR="008919D1">
        <w:t xml:space="preserve"> </w:t>
      </w:r>
      <w:r w:rsidR="008919D1" w:rsidRPr="00256BDA">
        <w:t>16</w:t>
      </w:r>
      <w:r w:rsidR="008919D1">
        <w:t>).</w:t>
      </w:r>
      <w:r w:rsidR="00E04218" w:rsidRPr="00682604">
        <w:rPr>
          <w:rStyle w:val="FootnoteReference"/>
          <w:rFonts w:ascii="Arial" w:hAnsi="Arial"/>
          <w:lang w:val="en-US"/>
        </w:rPr>
        <w:footnoteReference w:id="24"/>
      </w:r>
      <w:r w:rsidRPr="00682604">
        <w:rPr>
          <w:lang w:val="en-US"/>
        </w:rPr>
        <w:t xml:space="preserve"> When they grow to maturity, they will talk to each other in truth and in love (</w:t>
      </w:r>
      <w:r w:rsidR="00AB429A">
        <w:rPr>
          <w:lang w:val="en-US"/>
        </w:rPr>
        <w:t xml:space="preserve">4:15; </w:t>
      </w:r>
      <w:r w:rsidRPr="00682604">
        <w:rPr>
          <w:lang w:val="en-US"/>
        </w:rPr>
        <w:t xml:space="preserve">admonish and encourage). The edification process is </w:t>
      </w:r>
      <w:r w:rsidR="00682604" w:rsidRPr="00682604">
        <w:rPr>
          <w:lang w:val="en-US"/>
        </w:rPr>
        <w:t>characterized</w:t>
      </w:r>
      <w:r w:rsidRPr="00682604">
        <w:rPr>
          <w:lang w:val="en-US"/>
        </w:rPr>
        <w:t xml:space="preserve"> by love. When believers use their gifts, the congregation is bound together in a unity according to the plan of God, and God reveals his wisdom and the glory of his grace to</w:t>
      </w:r>
      <w:r w:rsidR="0018466B">
        <w:rPr>
          <w:lang w:val="en-US"/>
        </w:rPr>
        <w:t xml:space="preserve"> and through</w:t>
      </w:r>
      <w:r w:rsidRPr="00682604">
        <w:rPr>
          <w:lang w:val="en-US"/>
        </w:rPr>
        <w:t xml:space="preserve"> them.</w:t>
      </w:r>
      <w:r w:rsidR="00E04218" w:rsidRPr="00682604">
        <w:rPr>
          <w:rStyle w:val="FootnoteReference"/>
          <w:rFonts w:ascii="Arial" w:hAnsi="Arial"/>
          <w:lang w:val="en-US"/>
        </w:rPr>
        <w:footnoteReference w:id="25"/>
      </w:r>
      <w:r w:rsidRPr="00682604">
        <w:rPr>
          <w:lang w:val="en-US"/>
        </w:rPr>
        <w:t xml:space="preserve"> The imperative that demands a certain lif</w:t>
      </w:r>
      <w:r w:rsidR="00D1595D">
        <w:rPr>
          <w:lang w:val="en-US"/>
        </w:rPr>
        <w:t>e-style from the believers (</w:t>
      </w:r>
      <w:proofErr w:type="spellStart"/>
      <w:r w:rsidR="00D1595D">
        <w:rPr>
          <w:lang w:val="en-US"/>
        </w:rPr>
        <w:t>Eph</w:t>
      </w:r>
      <w:proofErr w:type="spellEnd"/>
      <w:r w:rsidRPr="00682604">
        <w:rPr>
          <w:lang w:val="en-US"/>
        </w:rPr>
        <w:t xml:space="preserve"> 4:17) is based on knowledge of Christ (the indicative of the work of the </w:t>
      </w:r>
      <w:r w:rsidR="003565D2" w:rsidRPr="00682604">
        <w:rPr>
          <w:lang w:val="en-US"/>
        </w:rPr>
        <w:t xml:space="preserve">triune </w:t>
      </w:r>
      <w:r w:rsidRPr="00682604">
        <w:rPr>
          <w:lang w:val="en-US"/>
        </w:rPr>
        <w:t xml:space="preserve">God). The equipment of the </w:t>
      </w:r>
      <w:r w:rsidRPr="00682604">
        <w:rPr>
          <w:lang w:val="en-US"/>
        </w:rPr>
        <w:lastRenderedPageBreak/>
        <w:t>believers to perform their service enables them to break with the old human being, to renew their thinking, and to make the new human being a reality in their words and deeds</w:t>
      </w:r>
      <w:r w:rsidR="00AB429A">
        <w:rPr>
          <w:lang w:val="en-US"/>
        </w:rPr>
        <w:t xml:space="preserve"> (4:17</w:t>
      </w:r>
      <w:r w:rsidR="00FD0506">
        <w:rPr>
          <w:rFonts w:cs="Times New Roman"/>
          <w:lang w:val="en-US"/>
        </w:rPr>
        <w:t>‒</w:t>
      </w:r>
      <w:r w:rsidR="00AB429A">
        <w:rPr>
          <w:lang w:val="en-US"/>
        </w:rPr>
        <w:t>24)</w:t>
      </w:r>
      <w:r w:rsidRPr="00682604">
        <w:rPr>
          <w:lang w:val="en-US"/>
        </w:rPr>
        <w:t>.</w:t>
      </w:r>
      <w:r w:rsidR="00E04218" w:rsidRPr="00682604">
        <w:rPr>
          <w:rStyle w:val="FootnoteReference"/>
          <w:rFonts w:ascii="Arial" w:hAnsi="Arial"/>
          <w:lang w:val="en-US"/>
        </w:rPr>
        <w:footnoteReference w:id="26"/>
      </w:r>
    </w:p>
    <w:p w14:paraId="6F25BA85" w14:textId="7E73E581" w:rsidR="00945599" w:rsidRPr="00682604" w:rsidRDefault="00945599" w:rsidP="00D1595D">
      <w:pPr>
        <w:rPr>
          <w:lang w:val="en-US"/>
        </w:rPr>
      </w:pPr>
      <w:r w:rsidRPr="00682604">
        <w:rPr>
          <w:bCs/>
          <w:lang w:val="en-US"/>
        </w:rPr>
        <w:t xml:space="preserve">The </w:t>
      </w:r>
      <w:r w:rsidRPr="00682604">
        <w:rPr>
          <w:b/>
          <w:lang w:val="en-US"/>
        </w:rPr>
        <w:t xml:space="preserve">essence </w:t>
      </w:r>
      <w:r w:rsidRPr="00682604">
        <w:rPr>
          <w:bCs/>
          <w:lang w:val="en-US"/>
        </w:rPr>
        <w:t>of the</w:t>
      </w:r>
      <w:r w:rsidRPr="00682604">
        <w:rPr>
          <w:b/>
          <w:lang w:val="en-US"/>
        </w:rPr>
        <w:t xml:space="preserve"> </w:t>
      </w:r>
      <w:proofErr w:type="spellStart"/>
      <w:r w:rsidRPr="00682604">
        <w:rPr>
          <w:lang w:val="en-US"/>
        </w:rPr>
        <w:t>δι</w:t>
      </w:r>
      <w:proofErr w:type="spellEnd"/>
      <w:r w:rsidRPr="00682604">
        <w:rPr>
          <w:lang w:val="en-US"/>
        </w:rPr>
        <w:t>ακονία</w:t>
      </w:r>
      <w:r w:rsidRPr="00682604">
        <w:rPr>
          <w:iCs/>
          <w:lang w:val="en-US"/>
        </w:rPr>
        <w:t>, according to Ephesians,</w:t>
      </w:r>
      <w:r w:rsidRPr="00682604">
        <w:rPr>
          <w:lang w:val="en-US"/>
        </w:rPr>
        <w:t xml:space="preserve"> could be the execution of God’s eternal plan to unite all things under the one head Christ. It comprises that the </w:t>
      </w:r>
      <w:proofErr w:type="spellStart"/>
      <w:r w:rsidRPr="00682604">
        <w:rPr>
          <w:iCs/>
          <w:lang w:val="en-US"/>
        </w:rPr>
        <w:t>δι</w:t>
      </w:r>
      <w:proofErr w:type="spellEnd"/>
      <w:r w:rsidRPr="00682604">
        <w:rPr>
          <w:iCs/>
          <w:lang w:val="en-US"/>
        </w:rPr>
        <w:t>άκονος</w:t>
      </w:r>
      <w:r w:rsidRPr="00682604">
        <w:rPr>
          <w:lang w:val="en-US"/>
        </w:rPr>
        <w:t xml:space="preserve">, who has received Christ’s grace, must in turn serve it to others through the works of his </w:t>
      </w:r>
      <w:proofErr w:type="spellStart"/>
      <w:r w:rsidRPr="00682604">
        <w:rPr>
          <w:lang w:val="en-US"/>
        </w:rPr>
        <w:t>δι</w:t>
      </w:r>
      <w:proofErr w:type="spellEnd"/>
      <w:r w:rsidRPr="00682604">
        <w:rPr>
          <w:lang w:val="en-US"/>
        </w:rPr>
        <w:t>ακονία</w:t>
      </w:r>
      <w:r w:rsidRPr="00682604">
        <w:rPr>
          <w:iCs/>
          <w:lang w:val="en-US"/>
        </w:rPr>
        <w:t>. He does this</w:t>
      </w:r>
      <w:r w:rsidRPr="00682604">
        <w:rPr>
          <w:lang w:val="en-US"/>
        </w:rPr>
        <w:t xml:space="preserve"> </w:t>
      </w:r>
      <w:r w:rsidR="00D1595D">
        <w:rPr>
          <w:lang w:val="en-US"/>
        </w:rPr>
        <w:t>with a view to</w:t>
      </w:r>
      <w:r w:rsidRPr="00682604">
        <w:rPr>
          <w:lang w:val="en-US"/>
        </w:rPr>
        <w:t xml:space="preserve"> the edification and growth to maturity of the church.</w:t>
      </w:r>
    </w:p>
    <w:p w14:paraId="15716493" w14:textId="77777777" w:rsidR="00945599" w:rsidRPr="00682604" w:rsidRDefault="00945599" w:rsidP="00E46DE3">
      <w:pPr>
        <w:rPr>
          <w:lang w:val="en-US"/>
        </w:rPr>
      </w:pPr>
      <w:r w:rsidRPr="00682604">
        <w:rPr>
          <w:bCs/>
          <w:lang w:val="en-US"/>
        </w:rPr>
        <w:t>The</w:t>
      </w:r>
      <w:r w:rsidRPr="00682604">
        <w:rPr>
          <w:b/>
          <w:lang w:val="en-US"/>
        </w:rPr>
        <w:t xml:space="preserve"> content </w:t>
      </w:r>
      <w:r w:rsidRPr="00682604">
        <w:rPr>
          <w:bCs/>
          <w:lang w:val="en-US"/>
        </w:rPr>
        <w:t xml:space="preserve">of the </w:t>
      </w:r>
      <w:proofErr w:type="spellStart"/>
      <w:r w:rsidRPr="00682604">
        <w:rPr>
          <w:lang w:val="en-US"/>
        </w:rPr>
        <w:t>δι</w:t>
      </w:r>
      <w:proofErr w:type="spellEnd"/>
      <w:r w:rsidRPr="00682604">
        <w:rPr>
          <w:lang w:val="en-US"/>
        </w:rPr>
        <w:t xml:space="preserve">ακονία could be the practical good works that are performed. It could comprise the fulfilment of unique functions in the congregation, for which everyone has received gifts, the equipment provided by the leaders, telling the truth to each other in love, and living worthy of your calling. </w:t>
      </w:r>
    </w:p>
    <w:p w14:paraId="3A2C1061" w14:textId="27572467" w:rsidR="00945599" w:rsidRPr="009678A8" w:rsidRDefault="00945599" w:rsidP="00C65ABD">
      <w:pPr>
        <w:pStyle w:val="Heading3"/>
        <w:rPr>
          <w:lang w:val="en-US"/>
        </w:rPr>
      </w:pPr>
      <w:bookmarkStart w:id="26" w:name="_Toc482179322"/>
      <w:bookmarkStart w:id="27" w:name="_Toc476766142"/>
      <w:bookmarkStart w:id="28" w:name="_Toc482565038"/>
      <w:bookmarkStart w:id="29" w:name="_Toc484005322"/>
      <w:bookmarkStart w:id="30" w:name="_Toc493264816"/>
      <w:r w:rsidRPr="009678A8">
        <w:rPr>
          <w:lang w:val="en-US"/>
        </w:rPr>
        <w:t xml:space="preserve">The </w:t>
      </w:r>
      <w:r w:rsidRPr="009678A8">
        <w:t>Gospel</w:t>
      </w:r>
      <w:r w:rsidRPr="009678A8">
        <w:rPr>
          <w:lang w:val="en-US"/>
        </w:rPr>
        <w:t xml:space="preserve"> according to John</w:t>
      </w:r>
      <w:bookmarkEnd w:id="26"/>
      <w:bookmarkEnd w:id="27"/>
      <w:bookmarkEnd w:id="28"/>
      <w:bookmarkEnd w:id="29"/>
      <w:bookmarkEnd w:id="30"/>
    </w:p>
    <w:p w14:paraId="0B67F7AE" w14:textId="245BBAE5" w:rsidR="00214BF2" w:rsidRDefault="00214BF2" w:rsidP="00FD0506">
      <w:pPr>
        <w:rPr>
          <w:lang w:val="en-US"/>
        </w:rPr>
      </w:pPr>
      <w:r>
        <w:rPr>
          <w:lang w:val="en-US"/>
        </w:rPr>
        <w:t xml:space="preserve">The </w:t>
      </w:r>
      <w:proofErr w:type="spellStart"/>
      <w:r>
        <w:rPr>
          <w:lang w:val="en-US"/>
        </w:rPr>
        <w:t>δι</w:t>
      </w:r>
      <w:proofErr w:type="spellEnd"/>
      <w:r>
        <w:rPr>
          <w:lang w:val="en-US"/>
        </w:rPr>
        <w:t>ακον- words are used three times in John</w:t>
      </w:r>
      <w:r w:rsidR="00A402B8">
        <w:rPr>
          <w:lang w:val="en-US"/>
        </w:rPr>
        <w:t xml:space="preserve"> 1</w:t>
      </w:r>
      <w:r>
        <w:rPr>
          <w:lang w:val="en-US"/>
        </w:rPr>
        <w:t xml:space="preserve">2. Chapter 12 can be seen as a transition from the description of Jesus’ work in public (John </w:t>
      </w:r>
      <w:r w:rsidR="00FD0506">
        <w:rPr>
          <w:lang w:val="en-US"/>
        </w:rPr>
        <w:t>1</w:t>
      </w:r>
      <w:r w:rsidR="00FD0506">
        <w:rPr>
          <w:rFonts w:cs="Times New Roman"/>
          <w:lang w:val="en-US"/>
        </w:rPr>
        <w:t>‒</w:t>
      </w:r>
      <w:r w:rsidR="00FD0506">
        <w:rPr>
          <w:lang w:val="en-US"/>
        </w:rPr>
        <w:t>12</w:t>
      </w:r>
      <w:r>
        <w:rPr>
          <w:lang w:val="en-US"/>
        </w:rPr>
        <w:t xml:space="preserve">) to his work only focused on the </w:t>
      </w:r>
      <w:r w:rsidR="007C237B">
        <w:rPr>
          <w:lang w:val="en-US"/>
        </w:rPr>
        <w:t>disciples</w:t>
      </w:r>
      <w:r>
        <w:rPr>
          <w:lang w:val="en-US"/>
        </w:rPr>
        <w:t xml:space="preserve"> (John </w:t>
      </w:r>
      <w:r w:rsidR="00FD0506">
        <w:rPr>
          <w:lang w:val="en-US"/>
        </w:rPr>
        <w:t xml:space="preserve">13 </w:t>
      </w:r>
      <w:r w:rsidR="00FD0506">
        <w:rPr>
          <w:rFonts w:cs="Times New Roman"/>
          <w:lang w:val="en-US"/>
        </w:rPr>
        <w:t>̶</w:t>
      </w:r>
      <w:r w:rsidR="00FD0506">
        <w:rPr>
          <w:lang w:val="en-US"/>
        </w:rPr>
        <w:t xml:space="preserve"> 21). </w:t>
      </w:r>
      <w:r>
        <w:rPr>
          <w:lang w:val="en-US"/>
        </w:rPr>
        <w:t>In chapter 12</w:t>
      </w:r>
      <w:r w:rsidR="00A453DD">
        <w:rPr>
          <w:lang w:val="en-US"/>
        </w:rPr>
        <w:t>,</w:t>
      </w:r>
      <w:r>
        <w:rPr>
          <w:lang w:val="en-US"/>
        </w:rPr>
        <w:t xml:space="preserve"> the contrast between those who believe, follow and serve Jesus </w:t>
      </w:r>
      <w:r w:rsidR="00A77365">
        <w:rPr>
          <w:lang w:val="en-US"/>
        </w:rPr>
        <w:t xml:space="preserve">and those who do not believe </w:t>
      </w:r>
      <w:r>
        <w:rPr>
          <w:lang w:val="en-US"/>
        </w:rPr>
        <w:t>is accentuated.</w:t>
      </w:r>
      <w:r w:rsidR="009678A8">
        <w:rPr>
          <w:lang w:val="en-US"/>
        </w:rPr>
        <w:t xml:space="preserve"> </w:t>
      </w:r>
    </w:p>
    <w:p w14:paraId="477D1CD3" w14:textId="7FFCC7E6" w:rsidR="00945599" w:rsidRPr="00682604" w:rsidRDefault="00945599" w:rsidP="00B31333">
      <w:pPr>
        <w:rPr>
          <w:lang w:val="en-US"/>
        </w:rPr>
      </w:pPr>
      <w:r w:rsidRPr="00682604">
        <w:rPr>
          <w:lang w:val="en-US"/>
        </w:rPr>
        <w:t xml:space="preserve">Two </w:t>
      </w:r>
      <w:r w:rsidR="00E33436" w:rsidRPr="00682604">
        <w:rPr>
          <w:lang w:val="en-US"/>
        </w:rPr>
        <w:t xml:space="preserve">articles </w:t>
      </w:r>
      <w:r w:rsidR="009A0D17">
        <w:rPr>
          <w:lang w:val="en-US"/>
        </w:rPr>
        <w:t xml:space="preserve">of mine </w:t>
      </w:r>
      <w:r w:rsidR="00B929CF" w:rsidRPr="00682604">
        <w:rPr>
          <w:lang w:val="en-US"/>
        </w:rPr>
        <w:t xml:space="preserve">deal </w:t>
      </w:r>
      <w:r w:rsidRPr="00682604">
        <w:rPr>
          <w:lang w:val="en-US"/>
        </w:rPr>
        <w:t xml:space="preserve">with the use of the </w:t>
      </w:r>
      <w:proofErr w:type="spellStart"/>
      <w:r w:rsidRPr="00682604">
        <w:rPr>
          <w:lang w:val="en-US"/>
        </w:rPr>
        <w:t>δι</w:t>
      </w:r>
      <w:proofErr w:type="spellEnd"/>
      <w:r w:rsidRPr="00682604">
        <w:rPr>
          <w:lang w:val="en-US"/>
        </w:rPr>
        <w:t>άκον- word group in John.</w:t>
      </w:r>
      <w:r w:rsidR="00B31333" w:rsidRPr="00682604">
        <w:rPr>
          <w:rStyle w:val="FootnoteReference"/>
          <w:rFonts w:ascii="Arial" w:hAnsi="Arial"/>
          <w:lang w:val="en-US"/>
        </w:rPr>
        <w:footnoteReference w:id="27"/>
      </w:r>
    </w:p>
    <w:p w14:paraId="25C79E59" w14:textId="11E1ADFB" w:rsidR="00945599" w:rsidRPr="00106728" w:rsidRDefault="00945599" w:rsidP="00C65ABD">
      <w:pPr>
        <w:pStyle w:val="Heading4"/>
        <w:rPr>
          <w:b w:val="0"/>
          <w:lang w:val="en-US"/>
        </w:rPr>
      </w:pPr>
      <w:bookmarkStart w:id="31" w:name="_Toc482179323"/>
      <w:bookmarkStart w:id="32" w:name="_Toc476766143"/>
      <w:bookmarkStart w:id="33" w:name="_Toc482565039"/>
      <w:bookmarkStart w:id="34" w:name="_Toc484005323"/>
      <w:bookmarkStart w:id="35" w:name="_Toc493264817"/>
      <w:proofErr w:type="spellStart"/>
      <w:r w:rsidRPr="00106728">
        <w:rPr>
          <w:b w:val="0"/>
        </w:rPr>
        <w:t>Δι</w:t>
      </w:r>
      <w:proofErr w:type="spellEnd"/>
      <w:r w:rsidRPr="00106728">
        <w:rPr>
          <w:b w:val="0"/>
        </w:rPr>
        <w:t>ακονία</w:t>
      </w:r>
      <w:r w:rsidRPr="00106728">
        <w:rPr>
          <w:b w:val="0"/>
          <w:lang w:val="en-US"/>
        </w:rPr>
        <w:t xml:space="preserve"> understood as making Jesus and the Father visible</w:t>
      </w:r>
      <w:bookmarkEnd w:id="31"/>
      <w:bookmarkEnd w:id="32"/>
      <w:bookmarkEnd w:id="33"/>
      <w:bookmarkEnd w:id="34"/>
      <w:bookmarkEnd w:id="35"/>
    </w:p>
    <w:p w14:paraId="7612920C" w14:textId="00AB49FA" w:rsidR="00945599" w:rsidRPr="00682604" w:rsidRDefault="00945599" w:rsidP="00A3755B">
      <w:pPr>
        <w:rPr>
          <w:lang w:val="en-US"/>
        </w:rPr>
      </w:pPr>
      <w:r w:rsidRPr="00682604">
        <w:rPr>
          <w:lang w:val="en-US"/>
        </w:rPr>
        <w:t xml:space="preserve">In John, a two-tiered narrative can be detected. </w:t>
      </w:r>
      <w:r w:rsidR="00B31333">
        <w:rPr>
          <w:lang w:val="en-US"/>
        </w:rPr>
        <w:t>One</w:t>
      </w:r>
      <w:r w:rsidRPr="00682604">
        <w:rPr>
          <w:lang w:val="en-US"/>
        </w:rPr>
        <w:t xml:space="preserve"> part of the narrative deals with what can be seen and experienced by all people through their senses. The other part of John’s narrative deals with what is implied by the visible and experiential reality, but </w:t>
      </w:r>
      <w:r w:rsidR="00915E62">
        <w:rPr>
          <w:lang w:val="en-US"/>
        </w:rPr>
        <w:t xml:space="preserve">is not </w:t>
      </w:r>
      <w:r w:rsidRPr="00682604">
        <w:rPr>
          <w:lang w:val="en-US"/>
        </w:rPr>
        <w:t>observable to all people</w:t>
      </w:r>
      <w:r w:rsidR="002916E9" w:rsidRPr="00682604">
        <w:rPr>
          <w:lang w:val="en-US"/>
        </w:rPr>
        <w:t>.</w:t>
      </w:r>
      <w:r w:rsidR="002916E9" w:rsidRPr="00682604">
        <w:rPr>
          <w:rStyle w:val="FootnoteReference"/>
          <w:rFonts w:ascii="Arial" w:hAnsi="Arial"/>
          <w:lang w:val="en-US"/>
        </w:rPr>
        <w:footnoteReference w:id="28"/>
      </w:r>
      <w:r w:rsidR="002916E9" w:rsidRPr="00682604">
        <w:rPr>
          <w:lang w:val="en-US"/>
        </w:rPr>
        <w:t xml:space="preserve"> </w:t>
      </w:r>
      <w:r w:rsidRPr="00682604">
        <w:rPr>
          <w:lang w:val="en-US"/>
        </w:rPr>
        <w:t>Jesus came to make this hidden truth known through the words of the Father, which He</w:t>
      </w:r>
      <w:r w:rsidR="002916E9" w:rsidRPr="00682604">
        <w:rPr>
          <w:lang w:val="en-US"/>
        </w:rPr>
        <w:sym w:font="Symbol" w:char="F0BE"/>
      </w:r>
      <w:r w:rsidR="002916E9" w:rsidRPr="00682604">
        <w:rPr>
          <w:lang w:val="en-US"/>
        </w:rPr>
        <w:t>Jesus</w:t>
      </w:r>
      <w:r w:rsidR="002916E9" w:rsidRPr="00682604">
        <w:rPr>
          <w:lang w:val="en-US"/>
        </w:rPr>
        <w:sym w:font="Symbol" w:char="F0BE"/>
      </w:r>
      <w:r w:rsidRPr="00682604">
        <w:rPr>
          <w:lang w:val="en-US"/>
        </w:rPr>
        <w:t>spoke, and through the deeds He did.</w:t>
      </w:r>
      <w:r w:rsidR="002916E9" w:rsidRPr="00682604">
        <w:rPr>
          <w:rStyle w:val="FootnoteReference"/>
          <w:rFonts w:ascii="Arial" w:hAnsi="Arial"/>
          <w:lang w:val="en-US"/>
        </w:rPr>
        <w:footnoteReference w:id="29"/>
      </w:r>
      <w:r w:rsidRPr="00682604">
        <w:rPr>
          <w:lang w:val="en-US"/>
        </w:rPr>
        <w:t xml:space="preserve"> In this way, He revealed the Father, whom no one except Jesus has seen yet. Only those that are reborn through the Spirit, can observe, </w:t>
      </w:r>
      <w:r w:rsidRPr="00682604">
        <w:rPr>
          <w:lang w:val="en-US"/>
        </w:rPr>
        <w:lastRenderedPageBreak/>
        <w:t>understand and believe this revelation. The others persevere in their unbelief.</w:t>
      </w:r>
      <w:r w:rsidR="002916E9" w:rsidRPr="00682604">
        <w:rPr>
          <w:rStyle w:val="FootnoteReference"/>
          <w:rFonts w:ascii="Arial" w:hAnsi="Arial"/>
          <w:lang w:val="en-US"/>
        </w:rPr>
        <w:footnoteReference w:id="30"/>
      </w:r>
      <w:r w:rsidRPr="00682604">
        <w:rPr>
          <w:lang w:val="en-US"/>
        </w:rPr>
        <w:t xml:space="preserve"> Those that believe participate in the unity that is found between the Father and the Son</w:t>
      </w:r>
      <w:r w:rsidR="002916E9" w:rsidRPr="00682604">
        <w:rPr>
          <w:lang w:val="en-US"/>
        </w:rPr>
        <w:t>.</w:t>
      </w:r>
      <w:r w:rsidR="002916E9" w:rsidRPr="00682604">
        <w:rPr>
          <w:rStyle w:val="FootnoteReference"/>
          <w:rFonts w:ascii="Arial" w:hAnsi="Arial"/>
          <w:lang w:val="en-US"/>
        </w:rPr>
        <w:footnoteReference w:id="31"/>
      </w:r>
      <w:r w:rsidRPr="00682604">
        <w:rPr>
          <w:lang w:val="en-US"/>
        </w:rPr>
        <w:t xml:space="preserve"> They become followers (disciples) of Jesus and start to serve </w:t>
      </w:r>
      <w:r w:rsidR="00454E9E" w:rsidRPr="00682604">
        <w:rPr>
          <w:lang w:val="en-US"/>
        </w:rPr>
        <w:t>(</w:t>
      </w:r>
      <w:proofErr w:type="spellStart"/>
      <w:r w:rsidR="00454E9E" w:rsidRPr="00682604">
        <w:rPr>
          <w:lang w:val="en-US"/>
        </w:rPr>
        <w:t>δι</w:t>
      </w:r>
      <w:proofErr w:type="spellEnd"/>
      <w:r w:rsidR="00454E9E" w:rsidRPr="00682604">
        <w:rPr>
          <w:lang w:val="en-US"/>
        </w:rPr>
        <w:t xml:space="preserve">ακονέω) </w:t>
      </w:r>
      <w:r w:rsidRPr="00682604">
        <w:rPr>
          <w:lang w:val="en-US"/>
        </w:rPr>
        <w:t>Him and the Father.</w:t>
      </w:r>
      <w:r w:rsidR="00E04218" w:rsidRPr="00682604">
        <w:rPr>
          <w:rStyle w:val="FootnoteReference"/>
          <w:rFonts w:ascii="Arial" w:hAnsi="Arial"/>
          <w:lang w:val="en-US"/>
        </w:rPr>
        <w:footnoteReference w:id="32"/>
      </w:r>
      <w:r w:rsidRPr="00682604">
        <w:rPr>
          <w:lang w:val="en-US"/>
        </w:rPr>
        <w:t xml:space="preserve"> Those that serve </w:t>
      </w:r>
      <w:r w:rsidR="00A3755B">
        <w:rPr>
          <w:lang w:val="en-US"/>
        </w:rPr>
        <w:t>Jesus</w:t>
      </w:r>
      <w:r w:rsidRPr="00682604">
        <w:rPr>
          <w:lang w:val="en-US"/>
        </w:rPr>
        <w:t xml:space="preserve"> follow </w:t>
      </w:r>
      <w:r w:rsidR="00A3755B">
        <w:rPr>
          <w:lang w:val="en-US"/>
        </w:rPr>
        <w:t>Him</w:t>
      </w:r>
      <w:r w:rsidR="00A3755B" w:rsidRPr="00682604">
        <w:rPr>
          <w:lang w:val="en-US"/>
        </w:rPr>
        <w:t xml:space="preserve"> </w:t>
      </w:r>
      <w:r w:rsidRPr="00682604">
        <w:rPr>
          <w:lang w:val="en-US"/>
        </w:rPr>
        <w:t>by doing his work and speaking his words</w:t>
      </w:r>
      <w:r w:rsidR="00A77365">
        <w:rPr>
          <w:lang w:val="en-US"/>
        </w:rPr>
        <w:t xml:space="preserve"> (12:26)</w:t>
      </w:r>
      <w:r w:rsidRPr="00682604">
        <w:rPr>
          <w:lang w:val="en-US"/>
        </w:rPr>
        <w:t>. In and through their service, Jesus and the Father are revealed to people that see and hear them</w:t>
      </w:r>
      <w:r w:rsidR="00E04218" w:rsidRPr="00682604">
        <w:rPr>
          <w:lang w:val="en-US"/>
        </w:rPr>
        <w:t>.</w:t>
      </w:r>
      <w:r w:rsidR="00E04218" w:rsidRPr="00682604">
        <w:rPr>
          <w:rStyle w:val="FootnoteReference"/>
          <w:rFonts w:ascii="Arial" w:hAnsi="Arial"/>
          <w:lang w:val="en-US"/>
        </w:rPr>
        <w:footnoteReference w:id="33"/>
      </w:r>
    </w:p>
    <w:p w14:paraId="4179CEC5" w14:textId="2E06E25E" w:rsidR="00945599" w:rsidRPr="00682604" w:rsidRDefault="00945599" w:rsidP="00E46DE3">
      <w:pPr>
        <w:rPr>
          <w:lang w:val="en-US"/>
        </w:rPr>
      </w:pPr>
      <w:r w:rsidRPr="00682604">
        <w:rPr>
          <w:bCs/>
          <w:lang w:val="en-US"/>
        </w:rPr>
        <w:t>The</w:t>
      </w:r>
      <w:r w:rsidRPr="00682604">
        <w:rPr>
          <w:b/>
          <w:lang w:val="en-US"/>
        </w:rPr>
        <w:t xml:space="preserve"> essence</w:t>
      </w:r>
      <w:r w:rsidRPr="00682604">
        <w:rPr>
          <w:lang w:val="en-US"/>
        </w:rPr>
        <w:t xml:space="preserve"> of the </w:t>
      </w:r>
      <w:proofErr w:type="spellStart"/>
      <w:r w:rsidRPr="00682604">
        <w:rPr>
          <w:lang w:val="en-US"/>
        </w:rPr>
        <w:t>δι</w:t>
      </w:r>
      <w:proofErr w:type="spellEnd"/>
      <w:r w:rsidRPr="00682604">
        <w:rPr>
          <w:lang w:val="en-US"/>
        </w:rPr>
        <w:t>ακονία could be representing God and making visible who God is in word and deed</w:t>
      </w:r>
      <w:r w:rsidR="00A77365">
        <w:rPr>
          <w:lang w:val="en-US"/>
        </w:rPr>
        <w:t xml:space="preserve"> (</w:t>
      </w:r>
      <w:proofErr w:type="spellStart"/>
      <w:r w:rsidR="00A77365" w:rsidRPr="00682604">
        <w:rPr>
          <w:lang w:val="en-US"/>
        </w:rPr>
        <w:t>δι</w:t>
      </w:r>
      <w:proofErr w:type="spellEnd"/>
      <w:r w:rsidR="00A77365" w:rsidRPr="00682604">
        <w:rPr>
          <w:lang w:val="en-US"/>
        </w:rPr>
        <w:t>ακονία</w:t>
      </w:r>
      <w:r w:rsidR="00A77365">
        <w:rPr>
          <w:lang w:val="en-US"/>
        </w:rPr>
        <w:t>)</w:t>
      </w:r>
      <w:r w:rsidRPr="00682604">
        <w:rPr>
          <w:lang w:val="en-US"/>
        </w:rPr>
        <w:t xml:space="preserve">. </w:t>
      </w:r>
    </w:p>
    <w:p w14:paraId="37CBDAFB" w14:textId="77777777" w:rsidR="00CD704A" w:rsidRDefault="00945599" w:rsidP="00C65ABD">
      <w:pPr>
        <w:pStyle w:val="Heading4"/>
        <w:rPr>
          <w:lang w:val="en-US"/>
        </w:rPr>
      </w:pPr>
      <w:r w:rsidRPr="00CD704A">
        <w:rPr>
          <w:b w:val="0"/>
          <w:lang w:val="en-US"/>
        </w:rPr>
        <w:t>The</w:t>
      </w:r>
      <w:r w:rsidRPr="00682604">
        <w:rPr>
          <w:lang w:val="en-US"/>
        </w:rPr>
        <w:t xml:space="preserve"> content </w:t>
      </w:r>
      <w:r w:rsidRPr="00CD704A">
        <w:rPr>
          <w:b w:val="0"/>
          <w:lang w:val="en-US"/>
        </w:rPr>
        <w:t xml:space="preserve">of the </w:t>
      </w:r>
      <w:proofErr w:type="spellStart"/>
      <w:r w:rsidRPr="00CD704A">
        <w:rPr>
          <w:b w:val="0"/>
          <w:lang w:val="en-US"/>
        </w:rPr>
        <w:t>δι</w:t>
      </w:r>
      <w:proofErr w:type="spellEnd"/>
      <w:r w:rsidRPr="00CD704A">
        <w:rPr>
          <w:b w:val="0"/>
          <w:lang w:val="en-US"/>
        </w:rPr>
        <w:t xml:space="preserve">ακονία could be a life in which the </w:t>
      </w:r>
      <w:proofErr w:type="spellStart"/>
      <w:r w:rsidRPr="00CD704A">
        <w:rPr>
          <w:b w:val="0"/>
          <w:lang w:val="en-US"/>
        </w:rPr>
        <w:t>δι</w:t>
      </w:r>
      <w:proofErr w:type="spellEnd"/>
      <w:r w:rsidRPr="00CD704A">
        <w:rPr>
          <w:b w:val="0"/>
          <w:lang w:val="en-US"/>
        </w:rPr>
        <w:t>άκονος demonstrates by hi</w:t>
      </w:r>
      <w:r w:rsidR="002011B6" w:rsidRPr="00CD704A">
        <w:rPr>
          <w:b w:val="0"/>
          <w:lang w:val="en-US"/>
        </w:rPr>
        <w:t>s</w:t>
      </w:r>
      <w:r w:rsidRPr="00CD704A">
        <w:rPr>
          <w:b w:val="0"/>
          <w:lang w:val="en-US"/>
        </w:rPr>
        <w:t xml:space="preserve"> deeds and words, under the guidance of the Holy Spirit, the obedience of Jesus to the Father and his love</w:t>
      </w:r>
      <w:r w:rsidRPr="00682604">
        <w:rPr>
          <w:lang w:val="en-US"/>
        </w:rPr>
        <w:t>.</w:t>
      </w:r>
      <w:bookmarkStart w:id="36" w:name="_Toc482179324"/>
      <w:bookmarkStart w:id="37" w:name="_Toc476766144"/>
      <w:bookmarkStart w:id="38" w:name="_Toc482565040"/>
      <w:bookmarkStart w:id="39" w:name="_Toc484005324"/>
      <w:bookmarkStart w:id="40" w:name="_Toc493264818"/>
    </w:p>
    <w:p w14:paraId="4ABE2F2D" w14:textId="67AB759C" w:rsidR="00945599" w:rsidRPr="009678A8" w:rsidRDefault="00945599" w:rsidP="00C65ABD">
      <w:pPr>
        <w:pStyle w:val="Heading4"/>
        <w:rPr>
          <w:b w:val="0"/>
          <w:lang w:val="en-US"/>
        </w:rPr>
      </w:pPr>
      <w:r w:rsidRPr="009678A8">
        <w:rPr>
          <w:b w:val="0"/>
          <w:lang w:val="en-US"/>
        </w:rPr>
        <w:t>John 12</w:t>
      </w:r>
      <w:bookmarkEnd w:id="36"/>
      <w:bookmarkEnd w:id="37"/>
      <w:bookmarkEnd w:id="38"/>
      <w:bookmarkEnd w:id="39"/>
      <w:bookmarkEnd w:id="40"/>
      <w:r w:rsidR="00A34CCD" w:rsidRPr="009678A8">
        <w:rPr>
          <w:b w:val="0"/>
          <w:lang w:val="en-US"/>
        </w:rPr>
        <w:t xml:space="preserve"> </w:t>
      </w:r>
      <w:proofErr w:type="spellStart"/>
      <w:r w:rsidR="00A34CCD" w:rsidRPr="009678A8">
        <w:rPr>
          <w:b w:val="0"/>
          <w:lang w:val="en-US"/>
        </w:rPr>
        <w:t>Diakonia</w:t>
      </w:r>
      <w:proofErr w:type="spellEnd"/>
      <w:r w:rsidR="00A34CCD" w:rsidRPr="009678A8">
        <w:rPr>
          <w:b w:val="0"/>
          <w:lang w:val="en-US"/>
        </w:rPr>
        <w:t xml:space="preserve"> and following Jesus</w:t>
      </w:r>
    </w:p>
    <w:p w14:paraId="6422EA77" w14:textId="0F1FBAF4" w:rsidR="00A77365" w:rsidRPr="005E5F15" w:rsidRDefault="00A77365" w:rsidP="006E2090">
      <w:pPr>
        <w:rPr>
          <w:lang w:val="en-US"/>
        </w:rPr>
      </w:pPr>
      <w:r>
        <w:rPr>
          <w:lang w:val="en-US"/>
        </w:rPr>
        <w:t>In John 12:26</w:t>
      </w:r>
      <w:r w:rsidR="006E2090">
        <w:rPr>
          <w:lang w:val="en-US"/>
        </w:rPr>
        <w:t>,</w:t>
      </w:r>
      <w:r>
        <w:rPr>
          <w:lang w:val="en-US"/>
        </w:rPr>
        <w:t xml:space="preserve"> the daikon- words are used three times: “</w:t>
      </w:r>
      <w:r w:rsidRPr="005E5F15">
        <w:rPr>
          <w:lang w:eastAsia="x-none"/>
        </w:rPr>
        <w:t xml:space="preserve">If any man serve </w:t>
      </w:r>
      <w:r w:rsidRPr="005E5F15">
        <w:rPr>
          <w:rFonts w:cs="Times New Roman"/>
          <w:lang w:eastAsia="x-none"/>
        </w:rPr>
        <w:t>(</w:t>
      </w:r>
      <w:proofErr w:type="spellStart"/>
      <w:r w:rsidRPr="005E5F15">
        <w:rPr>
          <w:rFonts w:cs="Times New Roman"/>
          <w:lang w:eastAsia="x-none"/>
        </w:rPr>
        <w:t>δι</w:t>
      </w:r>
      <w:proofErr w:type="spellEnd"/>
      <w:r w:rsidRPr="005E5F15">
        <w:rPr>
          <w:rFonts w:cs="Times New Roman"/>
          <w:lang w:eastAsia="x-none"/>
        </w:rPr>
        <w:t>ακονε</w:t>
      </w:r>
      <w:r w:rsidRPr="005E5F15">
        <w:rPr>
          <w:rFonts w:eastAsia="Times New Roman" w:cs="Times New Roman"/>
          <w:lang w:eastAsia="x-none"/>
        </w:rPr>
        <w:t>́ω)</w:t>
      </w:r>
      <w:r w:rsidRPr="005E5F15">
        <w:rPr>
          <w:lang w:eastAsia="x-none"/>
        </w:rPr>
        <w:t xml:space="preserve"> me, let him follow me; and where I am, there shall also my servant </w:t>
      </w:r>
      <w:r w:rsidRPr="005E5F15">
        <w:rPr>
          <w:rFonts w:cs="Times New Roman"/>
          <w:lang w:eastAsia="x-none"/>
        </w:rPr>
        <w:t>(</w:t>
      </w:r>
      <w:proofErr w:type="spellStart"/>
      <w:r w:rsidRPr="005E5F15">
        <w:rPr>
          <w:rFonts w:cs="Times New Roman"/>
          <w:lang w:eastAsia="x-none"/>
        </w:rPr>
        <w:t>δι</w:t>
      </w:r>
      <w:proofErr w:type="spellEnd"/>
      <w:r w:rsidRPr="005E5F15">
        <w:rPr>
          <w:rFonts w:cs="Times New Roman"/>
          <w:lang w:eastAsia="x-none"/>
        </w:rPr>
        <w:t>α</w:t>
      </w:r>
      <w:r w:rsidRPr="005E5F15">
        <w:rPr>
          <w:rFonts w:eastAsia="Times New Roman" w:cs="Times New Roman"/>
          <w:lang w:eastAsia="x-none"/>
        </w:rPr>
        <w:t>́κονος)</w:t>
      </w:r>
      <w:r w:rsidRPr="005E5F15">
        <w:rPr>
          <w:rFonts w:cs="Times New Roman"/>
          <w:lang w:eastAsia="x-none"/>
        </w:rPr>
        <w:t xml:space="preserve"> </w:t>
      </w:r>
      <w:r w:rsidRPr="005E5F15">
        <w:rPr>
          <w:lang w:eastAsia="x-none"/>
        </w:rPr>
        <w:t>be: if any man serve (</w:t>
      </w:r>
      <w:proofErr w:type="spellStart"/>
      <w:r w:rsidRPr="005E5F15">
        <w:rPr>
          <w:lang w:eastAsia="x-none"/>
        </w:rPr>
        <w:t>δι</w:t>
      </w:r>
      <w:proofErr w:type="spellEnd"/>
      <w:r w:rsidRPr="005E5F15">
        <w:rPr>
          <w:lang w:eastAsia="x-none"/>
        </w:rPr>
        <w:t xml:space="preserve">ακονέω) me, him will the Father </w:t>
      </w:r>
      <w:proofErr w:type="spellStart"/>
      <w:r w:rsidRPr="005E5F15">
        <w:rPr>
          <w:lang w:eastAsia="x-none"/>
        </w:rPr>
        <w:t>honor</w:t>
      </w:r>
      <w:proofErr w:type="spellEnd"/>
      <w:r w:rsidRPr="005E5F15">
        <w:rPr>
          <w:lang w:eastAsia="x-none"/>
        </w:rPr>
        <w:t>.”</w:t>
      </w:r>
    </w:p>
    <w:p w14:paraId="061AFBD5" w14:textId="7D5F2796" w:rsidR="00945599" w:rsidRPr="00682604" w:rsidRDefault="00945599" w:rsidP="00AD0210">
      <w:pPr>
        <w:rPr>
          <w:lang w:val="en-US"/>
        </w:rPr>
      </w:pPr>
      <w:r w:rsidRPr="00682604">
        <w:rPr>
          <w:lang w:val="en-US"/>
        </w:rPr>
        <w:t xml:space="preserve">John 12 places the </w:t>
      </w:r>
      <w:proofErr w:type="spellStart"/>
      <w:r w:rsidRPr="00682604">
        <w:rPr>
          <w:lang w:val="en-US"/>
        </w:rPr>
        <w:t>δι</w:t>
      </w:r>
      <w:proofErr w:type="spellEnd"/>
      <w:r w:rsidRPr="00682604">
        <w:rPr>
          <w:lang w:val="en-US"/>
        </w:rPr>
        <w:t xml:space="preserve">άκονος of Jesus Christ in the new era, which arrived with the suffering </w:t>
      </w:r>
      <w:r w:rsidR="00B929CF" w:rsidRPr="00682604">
        <w:rPr>
          <w:lang w:val="en-US"/>
        </w:rPr>
        <w:t xml:space="preserve">and </w:t>
      </w:r>
      <w:r w:rsidRPr="00682604">
        <w:rPr>
          <w:lang w:val="en-US"/>
        </w:rPr>
        <w:t>death, resurrection and ascension of Jesus.</w:t>
      </w:r>
      <w:r w:rsidR="00E04218" w:rsidRPr="00682604">
        <w:rPr>
          <w:rStyle w:val="FootnoteReference"/>
          <w:rFonts w:ascii="Arial" w:hAnsi="Arial"/>
          <w:lang w:val="en-US"/>
        </w:rPr>
        <w:footnoteReference w:id="34"/>
      </w:r>
      <w:r w:rsidRPr="00682604">
        <w:rPr>
          <w:lang w:val="en-US"/>
        </w:rPr>
        <w:t xml:space="preserve"> Anyone who wants to serve Jesus (</w:t>
      </w:r>
      <w:proofErr w:type="spellStart"/>
      <w:r w:rsidRPr="00682604">
        <w:rPr>
          <w:lang w:val="en-US"/>
        </w:rPr>
        <w:t>δι</w:t>
      </w:r>
      <w:proofErr w:type="spellEnd"/>
      <w:r w:rsidRPr="00682604">
        <w:rPr>
          <w:lang w:val="en-US"/>
        </w:rPr>
        <w:t xml:space="preserve">ακονέω) must follow Him. Following Jesus essentially means to receive the task that Jesus received from the Father and to continue it. It means that the </w:t>
      </w:r>
      <w:proofErr w:type="spellStart"/>
      <w:r w:rsidRPr="00682604">
        <w:rPr>
          <w:lang w:val="en-US"/>
        </w:rPr>
        <w:t>δι</w:t>
      </w:r>
      <w:proofErr w:type="spellEnd"/>
      <w:r w:rsidRPr="00682604">
        <w:rPr>
          <w:lang w:val="en-US"/>
        </w:rPr>
        <w:t>άκονος has to speak the words of Jesus and to do the deeds of Jesus</w:t>
      </w:r>
      <w:r w:rsidR="007B793B" w:rsidRPr="00682604">
        <w:rPr>
          <w:lang w:val="en-US"/>
        </w:rPr>
        <w:t>.</w:t>
      </w:r>
      <w:r w:rsidR="00FC6DAB" w:rsidRPr="00682604">
        <w:rPr>
          <w:rStyle w:val="FootnoteReference"/>
          <w:rFonts w:ascii="Arial" w:hAnsi="Arial"/>
          <w:lang w:val="en-US"/>
        </w:rPr>
        <w:footnoteReference w:id="35"/>
      </w:r>
      <w:r w:rsidRPr="00682604">
        <w:rPr>
          <w:lang w:val="en-US"/>
        </w:rPr>
        <w:t xml:space="preserve"> In John 12, following Jesus is connected with the death of Jesus, </w:t>
      </w:r>
      <w:r w:rsidRPr="00682604">
        <w:rPr>
          <w:lang w:val="en-US"/>
        </w:rPr>
        <w:lastRenderedPageBreak/>
        <w:t>of which the purpose was to save many</w:t>
      </w:r>
      <w:r w:rsidR="00A77365">
        <w:rPr>
          <w:lang w:val="en-US"/>
        </w:rPr>
        <w:t xml:space="preserve"> (12:23,</w:t>
      </w:r>
      <w:r w:rsidR="002951C0">
        <w:rPr>
          <w:lang w:val="en-US"/>
        </w:rPr>
        <w:t xml:space="preserve"> </w:t>
      </w:r>
      <w:r w:rsidR="00A77365">
        <w:rPr>
          <w:lang w:val="en-US"/>
        </w:rPr>
        <w:t>24,</w:t>
      </w:r>
      <w:r w:rsidR="002951C0">
        <w:rPr>
          <w:lang w:val="en-US"/>
        </w:rPr>
        <w:t xml:space="preserve"> </w:t>
      </w:r>
      <w:r w:rsidR="00A77365">
        <w:rPr>
          <w:lang w:val="en-US"/>
        </w:rPr>
        <w:t>32)</w:t>
      </w:r>
      <w:r w:rsidRPr="00682604">
        <w:rPr>
          <w:lang w:val="en-US"/>
        </w:rPr>
        <w:t xml:space="preserve">. The </w:t>
      </w:r>
      <w:proofErr w:type="spellStart"/>
      <w:r w:rsidRPr="00682604">
        <w:rPr>
          <w:lang w:val="en-US"/>
        </w:rPr>
        <w:t>δι</w:t>
      </w:r>
      <w:proofErr w:type="spellEnd"/>
      <w:r w:rsidRPr="00682604">
        <w:rPr>
          <w:lang w:val="en-US"/>
        </w:rPr>
        <w:t>άκονος must be prepared to follow Jesus to death</w:t>
      </w:r>
      <w:r w:rsidR="00EB72B5">
        <w:rPr>
          <w:lang w:val="en-US"/>
        </w:rPr>
        <w:t xml:space="preserve"> (12:25)</w:t>
      </w:r>
      <w:r w:rsidRPr="00682604">
        <w:rPr>
          <w:lang w:val="en-US"/>
        </w:rPr>
        <w:t xml:space="preserve">. He must be willing to lose his life to regain it. In this way, the </w:t>
      </w:r>
      <w:proofErr w:type="spellStart"/>
      <w:r w:rsidRPr="00682604">
        <w:rPr>
          <w:lang w:val="en-US"/>
        </w:rPr>
        <w:t>δι</w:t>
      </w:r>
      <w:proofErr w:type="spellEnd"/>
      <w:r w:rsidRPr="00682604">
        <w:rPr>
          <w:lang w:val="en-US"/>
        </w:rPr>
        <w:t>άκονος becomes involved in the salvation of many that will be drawn to Jesus through his words and deeds.</w:t>
      </w:r>
      <w:r w:rsidR="00FC6DAB" w:rsidRPr="00682604">
        <w:rPr>
          <w:rStyle w:val="FootnoteReference"/>
          <w:rFonts w:ascii="Arial" w:hAnsi="Arial"/>
          <w:lang w:val="en-US"/>
        </w:rPr>
        <w:footnoteReference w:id="36"/>
      </w:r>
      <w:r w:rsidRPr="00682604">
        <w:rPr>
          <w:lang w:val="en-US"/>
        </w:rPr>
        <w:t xml:space="preserve"> Two promises are given to the one who serves Jesus and therefore follows Him. He will be where Jesus is, which means, in his relationship with the Father and the Son, he will be where Jesus is in his relationship with the Father.</w:t>
      </w:r>
      <w:r w:rsidR="00FC6DAB" w:rsidRPr="00682604">
        <w:rPr>
          <w:rStyle w:val="FootnoteReference"/>
          <w:rFonts w:ascii="Arial" w:hAnsi="Arial"/>
          <w:lang w:val="en-US"/>
        </w:rPr>
        <w:footnoteReference w:id="37"/>
      </w:r>
      <w:r w:rsidRPr="00682604">
        <w:rPr>
          <w:lang w:val="en-US"/>
        </w:rPr>
        <w:t xml:space="preserve"> The second is that the Father will </w:t>
      </w:r>
      <w:r w:rsidR="00682604" w:rsidRPr="00682604">
        <w:rPr>
          <w:lang w:val="en-US"/>
        </w:rPr>
        <w:t>honor</w:t>
      </w:r>
      <w:r w:rsidRPr="00682604">
        <w:rPr>
          <w:lang w:val="en-US"/>
        </w:rPr>
        <w:t xml:space="preserve"> him. The suffering and the </w:t>
      </w:r>
      <w:r w:rsidR="00682604" w:rsidRPr="00682604">
        <w:rPr>
          <w:lang w:val="en-US"/>
        </w:rPr>
        <w:t>dishonor</w:t>
      </w:r>
      <w:r w:rsidRPr="00682604">
        <w:rPr>
          <w:lang w:val="en-US"/>
        </w:rPr>
        <w:t xml:space="preserve"> that he experiences because of his </w:t>
      </w:r>
      <w:proofErr w:type="spellStart"/>
      <w:r w:rsidRPr="00682604">
        <w:rPr>
          <w:iCs/>
          <w:lang w:val="en-US"/>
        </w:rPr>
        <w:t>δι</w:t>
      </w:r>
      <w:proofErr w:type="spellEnd"/>
      <w:r w:rsidRPr="00682604">
        <w:rPr>
          <w:iCs/>
          <w:lang w:val="en-US"/>
        </w:rPr>
        <w:t>ακονία</w:t>
      </w:r>
      <w:r w:rsidRPr="00682604">
        <w:rPr>
          <w:lang w:val="en-US"/>
        </w:rPr>
        <w:t xml:space="preserve"> will stand in contrast to the </w:t>
      </w:r>
      <w:r w:rsidR="00682604" w:rsidRPr="00682604">
        <w:rPr>
          <w:lang w:val="en-US"/>
        </w:rPr>
        <w:t>honor</w:t>
      </w:r>
      <w:r w:rsidRPr="00682604">
        <w:rPr>
          <w:lang w:val="en-US"/>
        </w:rPr>
        <w:t xml:space="preserve"> that he will receive from the Father. The </w:t>
      </w:r>
      <w:proofErr w:type="spellStart"/>
      <w:r w:rsidRPr="00682604">
        <w:rPr>
          <w:lang w:val="en-US"/>
        </w:rPr>
        <w:t>δι</w:t>
      </w:r>
      <w:proofErr w:type="spellEnd"/>
      <w:r w:rsidRPr="00682604">
        <w:rPr>
          <w:lang w:val="en-US"/>
        </w:rPr>
        <w:t>άκονος glorifies Jesus and the Father, and is glorified by Jesus and the Father</w:t>
      </w:r>
      <w:r w:rsidR="00EB72B5">
        <w:rPr>
          <w:lang w:val="en-US"/>
        </w:rPr>
        <w:t xml:space="preserve"> (12:26)</w:t>
      </w:r>
      <w:r w:rsidRPr="00682604">
        <w:rPr>
          <w:lang w:val="en-US"/>
        </w:rPr>
        <w:t>.</w:t>
      </w:r>
      <w:r w:rsidR="00FC6DAB" w:rsidRPr="00682604">
        <w:rPr>
          <w:rStyle w:val="FootnoteReference"/>
          <w:rFonts w:ascii="Arial" w:hAnsi="Arial"/>
          <w:lang w:val="en-US"/>
        </w:rPr>
        <w:footnoteReference w:id="38"/>
      </w:r>
    </w:p>
    <w:p w14:paraId="543BD559" w14:textId="1D5F242E" w:rsidR="00945599" w:rsidRPr="00682604" w:rsidRDefault="00945599" w:rsidP="00E46DE3">
      <w:pPr>
        <w:rPr>
          <w:lang w:val="en-US"/>
        </w:rPr>
      </w:pPr>
      <w:r w:rsidRPr="00682604">
        <w:rPr>
          <w:bCs/>
          <w:lang w:val="en-US"/>
        </w:rPr>
        <w:t xml:space="preserve">The </w:t>
      </w:r>
      <w:r w:rsidRPr="00682604">
        <w:rPr>
          <w:b/>
          <w:lang w:val="en-US"/>
        </w:rPr>
        <w:t xml:space="preserve">essence </w:t>
      </w:r>
      <w:r w:rsidRPr="00682604">
        <w:rPr>
          <w:bCs/>
          <w:lang w:val="en-US"/>
        </w:rPr>
        <w:t xml:space="preserve">of </w:t>
      </w:r>
      <w:proofErr w:type="spellStart"/>
      <w:r w:rsidRPr="00682604">
        <w:rPr>
          <w:iCs/>
          <w:lang w:val="en-US"/>
        </w:rPr>
        <w:t>δι</w:t>
      </w:r>
      <w:proofErr w:type="spellEnd"/>
      <w:r w:rsidRPr="00682604">
        <w:rPr>
          <w:iCs/>
          <w:lang w:val="en-US"/>
        </w:rPr>
        <w:t>ακονία</w:t>
      </w:r>
      <w:r w:rsidRPr="00682604">
        <w:rPr>
          <w:lang w:val="en-US"/>
        </w:rPr>
        <w:t xml:space="preserve"> could be following Jesus where He is waiting in anticipation of the </w:t>
      </w:r>
      <w:r w:rsidR="00682604" w:rsidRPr="00682604">
        <w:rPr>
          <w:lang w:val="en-US"/>
        </w:rPr>
        <w:t>honor</w:t>
      </w:r>
      <w:r w:rsidRPr="00682604">
        <w:rPr>
          <w:lang w:val="en-US"/>
        </w:rPr>
        <w:t xml:space="preserve"> the Father gives.</w:t>
      </w:r>
    </w:p>
    <w:p w14:paraId="16748F4D" w14:textId="413083B1" w:rsidR="00945599" w:rsidRPr="00682604" w:rsidRDefault="00945599" w:rsidP="00AD0210">
      <w:pPr>
        <w:rPr>
          <w:lang w:val="en-US"/>
        </w:rPr>
      </w:pPr>
      <w:r w:rsidRPr="00682604">
        <w:rPr>
          <w:bCs/>
          <w:lang w:val="en-US"/>
        </w:rPr>
        <w:t>The</w:t>
      </w:r>
      <w:r w:rsidRPr="00682604">
        <w:rPr>
          <w:b/>
          <w:lang w:val="en-US"/>
        </w:rPr>
        <w:t xml:space="preserve"> content </w:t>
      </w:r>
      <w:r w:rsidRPr="00682604">
        <w:rPr>
          <w:bCs/>
          <w:lang w:val="en-US"/>
        </w:rPr>
        <w:t>of the</w:t>
      </w:r>
      <w:r w:rsidRPr="00682604">
        <w:rPr>
          <w:b/>
          <w:lang w:val="en-US"/>
        </w:rPr>
        <w:t xml:space="preserve"> </w:t>
      </w:r>
      <w:proofErr w:type="spellStart"/>
      <w:r w:rsidRPr="00682604">
        <w:rPr>
          <w:iCs/>
          <w:lang w:val="en-US"/>
        </w:rPr>
        <w:t>δι</w:t>
      </w:r>
      <w:proofErr w:type="spellEnd"/>
      <w:r w:rsidRPr="00682604">
        <w:rPr>
          <w:iCs/>
          <w:lang w:val="en-US"/>
        </w:rPr>
        <w:t>ακονία</w:t>
      </w:r>
      <w:r w:rsidRPr="00682604">
        <w:rPr>
          <w:lang w:val="en-US"/>
        </w:rPr>
        <w:t xml:space="preserve"> could be following Jesus by doing practical deeds with a view to lead people to Jesus, even if it would require </w:t>
      </w:r>
      <w:r w:rsidR="00AD0210">
        <w:rPr>
          <w:lang w:val="en-US"/>
        </w:rPr>
        <w:t>one</w:t>
      </w:r>
      <w:r w:rsidRPr="00682604">
        <w:rPr>
          <w:lang w:val="en-US"/>
        </w:rPr>
        <w:t xml:space="preserve"> to sacrifice </w:t>
      </w:r>
      <w:r w:rsidR="00AD0210">
        <w:rPr>
          <w:lang w:val="en-US"/>
        </w:rPr>
        <w:t>his or her</w:t>
      </w:r>
      <w:r w:rsidRPr="00682604">
        <w:rPr>
          <w:lang w:val="en-US"/>
        </w:rPr>
        <w:t xml:space="preserve"> life.</w:t>
      </w:r>
    </w:p>
    <w:p w14:paraId="10AA39E4" w14:textId="2496575C" w:rsidR="00945599" w:rsidRPr="00030692" w:rsidRDefault="00945599" w:rsidP="00C65ABD">
      <w:pPr>
        <w:pStyle w:val="Heading3"/>
        <w:rPr>
          <w:b w:val="0"/>
          <w:i/>
          <w:lang w:val="en-US"/>
        </w:rPr>
      </w:pPr>
      <w:bookmarkStart w:id="41" w:name="_Toc482179325"/>
      <w:bookmarkStart w:id="42" w:name="_Toc476766145"/>
      <w:bookmarkStart w:id="43" w:name="_Toc482565041"/>
      <w:bookmarkStart w:id="44" w:name="_Toc484005325"/>
      <w:bookmarkStart w:id="45" w:name="_Toc493264819"/>
      <w:r w:rsidRPr="00030692">
        <w:rPr>
          <w:b w:val="0"/>
          <w:i/>
          <w:lang w:val="en-US"/>
        </w:rPr>
        <w:t>Mark 8</w:t>
      </w:r>
      <w:r w:rsidR="00E53669" w:rsidRPr="00030692">
        <w:rPr>
          <w:b w:val="0"/>
          <w:i/>
          <w:lang w:val="en-US"/>
        </w:rPr>
        <w:t>-</w:t>
      </w:r>
      <w:r w:rsidRPr="00030692">
        <w:rPr>
          <w:b w:val="0"/>
          <w:i/>
          <w:lang w:val="en-US"/>
        </w:rPr>
        <w:t>10</w:t>
      </w:r>
      <w:bookmarkEnd w:id="41"/>
      <w:bookmarkEnd w:id="42"/>
      <w:bookmarkEnd w:id="43"/>
      <w:bookmarkEnd w:id="44"/>
      <w:bookmarkEnd w:id="45"/>
      <w:r w:rsidR="00A34CCD" w:rsidRPr="00030692">
        <w:rPr>
          <w:b w:val="0"/>
          <w:i/>
          <w:lang w:val="en-US"/>
        </w:rPr>
        <w:t xml:space="preserve"> </w:t>
      </w:r>
      <w:proofErr w:type="spellStart"/>
      <w:r w:rsidR="00A34CCD" w:rsidRPr="00030692">
        <w:rPr>
          <w:b w:val="0"/>
          <w:i/>
          <w:lang w:val="en-US"/>
        </w:rPr>
        <w:t>Diakonia</w:t>
      </w:r>
      <w:proofErr w:type="spellEnd"/>
      <w:r w:rsidR="00A34CCD" w:rsidRPr="00030692">
        <w:rPr>
          <w:b w:val="0"/>
          <w:i/>
          <w:lang w:val="en-US"/>
        </w:rPr>
        <w:t xml:space="preserve"> and compassion</w:t>
      </w:r>
    </w:p>
    <w:p w14:paraId="6D7BAD27" w14:textId="4F53D418" w:rsidR="00945599" w:rsidRPr="00682604" w:rsidRDefault="00FC6DAB" w:rsidP="002951C0">
      <w:pPr>
        <w:rPr>
          <w:lang w:val="en-US"/>
        </w:rPr>
      </w:pPr>
      <w:r w:rsidRPr="00682604">
        <w:rPr>
          <w:lang w:val="en-US"/>
        </w:rPr>
        <w:t>In an</w:t>
      </w:r>
      <w:r w:rsidR="00306D05" w:rsidRPr="00682604">
        <w:rPr>
          <w:lang w:val="en-US"/>
        </w:rPr>
        <w:t xml:space="preserve"> article </w:t>
      </w:r>
      <w:r w:rsidR="00945599" w:rsidRPr="00682604">
        <w:rPr>
          <w:lang w:val="en-US"/>
        </w:rPr>
        <w:t xml:space="preserve">on the use of the </w:t>
      </w:r>
      <w:proofErr w:type="spellStart"/>
      <w:r w:rsidR="00945599" w:rsidRPr="00682604">
        <w:rPr>
          <w:lang w:val="en-US"/>
        </w:rPr>
        <w:t>δι</w:t>
      </w:r>
      <w:proofErr w:type="spellEnd"/>
      <w:r w:rsidR="00945599" w:rsidRPr="00682604">
        <w:rPr>
          <w:lang w:val="en-US"/>
        </w:rPr>
        <w:t xml:space="preserve">άκον- word group in Mark 10:42–5, </w:t>
      </w:r>
      <w:r w:rsidR="009678A8">
        <w:rPr>
          <w:lang w:val="en-US"/>
        </w:rPr>
        <w:t>I argued</w:t>
      </w:r>
      <w:r w:rsidR="00945599" w:rsidRPr="00682604">
        <w:rPr>
          <w:lang w:val="en-US"/>
        </w:rPr>
        <w:t xml:space="preserve"> that Mark guides his leaders to understand </w:t>
      </w:r>
      <w:proofErr w:type="spellStart"/>
      <w:r w:rsidR="00945599" w:rsidRPr="00682604">
        <w:rPr>
          <w:iCs/>
          <w:lang w:val="en-US"/>
        </w:rPr>
        <w:t>δι</w:t>
      </w:r>
      <w:proofErr w:type="spellEnd"/>
      <w:r w:rsidR="00945599" w:rsidRPr="00682604">
        <w:rPr>
          <w:iCs/>
          <w:lang w:val="en-US"/>
        </w:rPr>
        <w:t>ακονία</w:t>
      </w:r>
      <w:r w:rsidR="00945599" w:rsidRPr="00682604">
        <w:rPr>
          <w:lang w:val="en-US"/>
        </w:rPr>
        <w:t xml:space="preserve"> as </w:t>
      </w:r>
      <w:r w:rsidR="000978A8" w:rsidRPr="00682604">
        <w:rPr>
          <w:lang w:val="en-US"/>
        </w:rPr>
        <w:t xml:space="preserve">work done in </w:t>
      </w:r>
      <w:r w:rsidR="00945599" w:rsidRPr="00682604">
        <w:rPr>
          <w:lang w:val="en-US"/>
        </w:rPr>
        <w:t>an open and compassionate attitude towards other people</w:t>
      </w:r>
      <w:r w:rsidR="002951C0">
        <w:rPr>
          <w:lang w:val="en-US"/>
        </w:rPr>
        <w:t>,</w:t>
      </w:r>
      <w:r w:rsidR="00945599" w:rsidRPr="00682604">
        <w:rPr>
          <w:lang w:val="en-US"/>
        </w:rPr>
        <w:t xml:space="preserve"> even to those that are not entitled to it at all.</w:t>
      </w:r>
      <w:r w:rsidRPr="00682604">
        <w:rPr>
          <w:rStyle w:val="FootnoteReference"/>
          <w:rFonts w:ascii="Arial" w:hAnsi="Arial"/>
          <w:lang w:val="en-US"/>
        </w:rPr>
        <w:footnoteReference w:id="39"/>
      </w:r>
      <w:r w:rsidR="00945599" w:rsidRPr="00682604">
        <w:rPr>
          <w:lang w:val="en-US"/>
        </w:rPr>
        <w:t xml:space="preserve"> In Mark 8</w:t>
      </w:r>
      <w:r w:rsidR="00945599" w:rsidRPr="00682604">
        <w:rPr>
          <w:lang w:val="en-US"/>
        </w:rPr>
        <w:sym w:font="Symbol" w:char="F02D"/>
      </w:r>
      <w:r w:rsidR="00945599" w:rsidRPr="00682604">
        <w:rPr>
          <w:lang w:val="en-US"/>
        </w:rPr>
        <w:t>10, Jesus is preparing his disciples with great patience to act as leaders.</w:t>
      </w:r>
      <w:r w:rsidR="00CD5939" w:rsidRPr="00682604">
        <w:rPr>
          <w:rStyle w:val="FootnoteReference"/>
          <w:rFonts w:ascii="Arial" w:hAnsi="Arial"/>
          <w:lang w:val="en-US"/>
        </w:rPr>
        <w:footnoteReference w:id="40"/>
      </w:r>
      <w:r w:rsidR="00945599" w:rsidRPr="00682604">
        <w:rPr>
          <w:lang w:val="en-US"/>
        </w:rPr>
        <w:t xml:space="preserve"> The most important attitud</w:t>
      </w:r>
      <w:r w:rsidR="001F5F76">
        <w:rPr>
          <w:lang w:val="en-US"/>
        </w:rPr>
        <w:t>e they as leaders have to adopt</w:t>
      </w:r>
      <w:r w:rsidR="00945599" w:rsidRPr="00682604">
        <w:rPr>
          <w:lang w:val="en-US"/>
        </w:rPr>
        <w:t xml:space="preserve"> is not </w:t>
      </w:r>
      <w:r w:rsidR="007C237B" w:rsidRPr="00682604">
        <w:rPr>
          <w:lang w:val="en-US"/>
        </w:rPr>
        <w:t>being</w:t>
      </w:r>
      <w:r w:rsidR="00945599" w:rsidRPr="00682604">
        <w:rPr>
          <w:lang w:val="en-US"/>
        </w:rPr>
        <w:t xml:space="preserve"> rulers, but servants. This teaching stands in contrast to that of the world’s rulers that are reigning over their subjects.</w:t>
      </w:r>
      <w:r w:rsidR="00CD5939" w:rsidRPr="00682604">
        <w:rPr>
          <w:rStyle w:val="FootnoteReference"/>
          <w:rFonts w:ascii="Arial" w:hAnsi="Arial"/>
          <w:lang w:val="en-US"/>
        </w:rPr>
        <w:footnoteReference w:id="41"/>
      </w:r>
      <w:r w:rsidR="00945599" w:rsidRPr="00682604">
        <w:rPr>
          <w:lang w:val="en-US"/>
        </w:rPr>
        <w:t xml:space="preserve"> Trusting that God will let them be first, </w:t>
      </w:r>
      <w:r w:rsidR="002951C0">
        <w:rPr>
          <w:lang w:val="en-US"/>
        </w:rPr>
        <w:t>Jesus’ followers</w:t>
      </w:r>
      <w:r w:rsidR="002951C0" w:rsidRPr="00682604">
        <w:rPr>
          <w:lang w:val="en-US"/>
        </w:rPr>
        <w:t xml:space="preserve"> </w:t>
      </w:r>
      <w:r w:rsidR="00945599" w:rsidRPr="00682604">
        <w:rPr>
          <w:lang w:val="en-US"/>
        </w:rPr>
        <w:t>can be the servants of all and become the slaves of</w:t>
      </w:r>
      <w:r w:rsidR="001F5F76">
        <w:rPr>
          <w:lang w:val="en-US"/>
        </w:rPr>
        <w:t xml:space="preserve"> all</w:t>
      </w:r>
      <w:r w:rsidR="00EB72B5">
        <w:rPr>
          <w:lang w:val="en-US"/>
        </w:rPr>
        <w:t xml:space="preserve"> (10:43,</w:t>
      </w:r>
      <w:r w:rsidR="002951C0">
        <w:rPr>
          <w:lang w:val="en-US"/>
        </w:rPr>
        <w:t xml:space="preserve"> </w:t>
      </w:r>
      <w:r w:rsidR="00EB72B5">
        <w:rPr>
          <w:lang w:val="en-US"/>
        </w:rPr>
        <w:t>44)</w:t>
      </w:r>
      <w:r w:rsidR="00945599" w:rsidRPr="00682604">
        <w:rPr>
          <w:lang w:val="en-US"/>
        </w:rPr>
        <w:t xml:space="preserve">. In this way, they will follow Jesus, who did not come to be served, but to serve, and gave his life as ransom </w:t>
      </w:r>
      <w:r w:rsidR="00945599" w:rsidRPr="00682604">
        <w:rPr>
          <w:lang w:val="en-US"/>
        </w:rPr>
        <w:lastRenderedPageBreak/>
        <w:t>for many</w:t>
      </w:r>
      <w:r w:rsidR="00EB72B5">
        <w:rPr>
          <w:lang w:val="en-US"/>
        </w:rPr>
        <w:t xml:space="preserve"> (10:45)</w:t>
      </w:r>
      <w:r w:rsidR="00945599" w:rsidRPr="00682604">
        <w:rPr>
          <w:lang w:val="en-US"/>
        </w:rPr>
        <w:t>.</w:t>
      </w:r>
      <w:r w:rsidR="00CD5939" w:rsidRPr="00682604">
        <w:rPr>
          <w:rStyle w:val="FootnoteReference"/>
          <w:rFonts w:ascii="Arial" w:hAnsi="Arial"/>
          <w:lang w:val="en-US"/>
        </w:rPr>
        <w:footnoteReference w:id="42"/>
      </w:r>
      <w:r w:rsidR="00945599" w:rsidRPr="00682604">
        <w:rPr>
          <w:lang w:val="en-US"/>
        </w:rPr>
        <w:t xml:space="preserve"> Diaconal service stands in the light of the reconciliation that Jesus brought about by the ransom He paid. </w:t>
      </w:r>
    </w:p>
    <w:p w14:paraId="3CAE9C64" w14:textId="77777777" w:rsidR="00945599" w:rsidRPr="00682604" w:rsidRDefault="00945599" w:rsidP="00E46DE3">
      <w:pPr>
        <w:rPr>
          <w:lang w:val="en-US"/>
        </w:rPr>
      </w:pPr>
      <w:r w:rsidRPr="00682604">
        <w:rPr>
          <w:bCs/>
          <w:lang w:val="en-US"/>
        </w:rPr>
        <w:t>The</w:t>
      </w:r>
      <w:r w:rsidRPr="00682604">
        <w:rPr>
          <w:b/>
          <w:lang w:val="en-US"/>
        </w:rPr>
        <w:t xml:space="preserve"> essence</w:t>
      </w:r>
      <w:r w:rsidRPr="00682604">
        <w:rPr>
          <w:lang w:val="en-US"/>
        </w:rPr>
        <w:t xml:space="preserve"> of </w:t>
      </w:r>
      <w:proofErr w:type="spellStart"/>
      <w:r w:rsidRPr="00682604">
        <w:rPr>
          <w:iCs/>
          <w:lang w:val="en-US"/>
        </w:rPr>
        <w:t>δι</w:t>
      </w:r>
      <w:proofErr w:type="spellEnd"/>
      <w:r w:rsidRPr="00682604">
        <w:rPr>
          <w:iCs/>
          <w:lang w:val="en-US"/>
        </w:rPr>
        <w:t>ακονία</w:t>
      </w:r>
      <w:r w:rsidRPr="00682604">
        <w:rPr>
          <w:lang w:val="en-US"/>
        </w:rPr>
        <w:t xml:space="preserve"> according to Mark 8</w:t>
      </w:r>
      <w:r w:rsidRPr="00682604">
        <w:rPr>
          <w:lang w:val="en-US"/>
        </w:rPr>
        <w:sym w:font="Symbol" w:char="F02D"/>
      </w:r>
      <w:r w:rsidRPr="00682604">
        <w:rPr>
          <w:lang w:val="en-US"/>
        </w:rPr>
        <w:t xml:space="preserve">10 could be the open and compassionate attitude found in a </w:t>
      </w:r>
      <w:proofErr w:type="spellStart"/>
      <w:r w:rsidRPr="00682604">
        <w:rPr>
          <w:iCs/>
          <w:lang w:val="en-US"/>
        </w:rPr>
        <w:t>δι</w:t>
      </w:r>
      <w:proofErr w:type="spellEnd"/>
      <w:r w:rsidRPr="00682604">
        <w:rPr>
          <w:iCs/>
          <w:lang w:val="en-US"/>
        </w:rPr>
        <w:t>άκονος</w:t>
      </w:r>
      <w:r w:rsidRPr="00682604">
        <w:rPr>
          <w:lang w:val="en-US"/>
        </w:rPr>
        <w:t xml:space="preserve">, who as an envoy of God does not want to rule over others, but wishes to serve them. </w:t>
      </w:r>
    </w:p>
    <w:p w14:paraId="11B27F79" w14:textId="7E1EA8C7" w:rsidR="00945599" w:rsidRPr="00682604" w:rsidRDefault="00945599" w:rsidP="00E46DE3">
      <w:pPr>
        <w:rPr>
          <w:lang w:val="en-US"/>
        </w:rPr>
      </w:pPr>
      <w:r w:rsidRPr="00682604">
        <w:rPr>
          <w:bCs/>
          <w:lang w:val="en-US"/>
        </w:rPr>
        <w:t>The</w:t>
      </w:r>
      <w:r w:rsidRPr="00682604">
        <w:rPr>
          <w:b/>
          <w:lang w:val="en-US"/>
        </w:rPr>
        <w:t xml:space="preserve"> content </w:t>
      </w:r>
      <w:r w:rsidRPr="00682604">
        <w:rPr>
          <w:bCs/>
          <w:lang w:val="en-US"/>
        </w:rPr>
        <w:t>of the</w:t>
      </w:r>
      <w:r w:rsidRPr="00682604">
        <w:rPr>
          <w:lang w:val="en-US"/>
        </w:rPr>
        <w:t xml:space="preserve"> </w:t>
      </w:r>
      <w:proofErr w:type="spellStart"/>
      <w:r w:rsidRPr="00682604">
        <w:rPr>
          <w:iCs/>
          <w:lang w:val="en-US"/>
        </w:rPr>
        <w:t>δι</w:t>
      </w:r>
      <w:proofErr w:type="spellEnd"/>
      <w:r w:rsidRPr="00682604">
        <w:rPr>
          <w:iCs/>
          <w:lang w:val="en-US"/>
        </w:rPr>
        <w:t>ακονία</w:t>
      </w:r>
      <w:r w:rsidRPr="00682604">
        <w:rPr>
          <w:lang w:val="en-US"/>
        </w:rPr>
        <w:t xml:space="preserve"> according to Mark 8</w:t>
      </w:r>
      <w:r w:rsidR="00CA5BC2" w:rsidRPr="00682604">
        <w:rPr>
          <w:lang w:val="en-US"/>
        </w:rPr>
        <w:t>-</w:t>
      </w:r>
      <w:r w:rsidRPr="00682604">
        <w:rPr>
          <w:lang w:val="en-US"/>
        </w:rPr>
        <w:t>10 could be the deeds that bear testimony to openness and compassion and do not seek to rule over others.</w:t>
      </w:r>
    </w:p>
    <w:p w14:paraId="07D101F4" w14:textId="3C449196" w:rsidR="00945599" w:rsidRPr="00030692" w:rsidRDefault="00945599" w:rsidP="00C65ABD">
      <w:pPr>
        <w:pStyle w:val="Heading3"/>
        <w:rPr>
          <w:b w:val="0"/>
          <w:i/>
          <w:lang w:val="en-US"/>
        </w:rPr>
      </w:pPr>
      <w:bookmarkStart w:id="46" w:name="_Toc482179326"/>
      <w:bookmarkStart w:id="47" w:name="_Toc476766146"/>
      <w:bookmarkStart w:id="48" w:name="_Toc482565042"/>
      <w:bookmarkStart w:id="49" w:name="_Toc484005326"/>
      <w:bookmarkStart w:id="50" w:name="_Toc493264820"/>
      <w:r w:rsidRPr="00030692">
        <w:rPr>
          <w:b w:val="0"/>
          <w:i/>
          <w:lang w:val="en-US"/>
        </w:rPr>
        <w:t>1 Peter 4 and 5</w:t>
      </w:r>
      <w:bookmarkEnd w:id="46"/>
      <w:bookmarkEnd w:id="47"/>
      <w:bookmarkEnd w:id="48"/>
      <w:bookmarkEnd w:id="49"/>
      <w:bookmarkEnd w:id="50"/>
    </w:p>
    <w:p w14:paraId="32D03191" w14:textId="2E7C8DE1" w:rsidR="00030692" w:rsidRDefault="00030692" w:rsidP="00E46DE3">
      <w:pPr>
        <w:rPr>
          <w:lang w:val="en-US"/>
        </w:rPr>
      </w:pPr>
      <w:r>
        <w:rPr>
          <w:lang w:val="en-US"/>
        </w:rPr>
        <w:t xml:space="preserve">The </w:t>
      </w:r>
      <w:proofErr w:type="spellStart"/>
      <w:r>
        <w:rPr>
          <w:lang w:val="en-US"/>
        </w:rPr>
        <w:t>δι</w:t>
      </w:r>
      <w:proofErr w:type="spellEnd"/>
      <w:r>
        <w:rPr>
          <w:lang w:val="en-US"/>
        </w:rPr>
        <w:t>άκον- word group is used in 1 Peter 4:10</w:t>
      </w:r>
      <w:r w:rsidR="002951C0">
        <w:rPr>
          <w:lang w:val="en-US"/>
        </w:rPr>
        <w:t>,</w:t>
      </w:r>
      <w:r>
        <w:rPr>
          <w:lang w:val="en-US"/>
        </w:rPr>
        <w:t xml:space="preserve"> where Peter encourages his readers to use their gifts to serve (</w:t>
      </w:r>
      <w:proofErr w:type="spellStart"/>
      <w:r w:rsidRPr="00030692">
        <w:rPr>
          <w:lang w:val="en-US"/>
        </w:rPr>
        <w:t>δι</w:t>
      </w:r>
      <w:proofErr w:type="spellEnd"/>
      <w:r w:rsidRPr="00030692">
        <w:rPr>
          <w:lang w:val="en-US"/>
        </w:rPr>
        <w:t>ακονέω</w:t>
      </w:r>
      <w:r>
        <w:rPr>
          <w:lang w:val="en-US"/>
        </w:rPr>
        <w:t xml:space="preserve">) each other with </w:t>
      </w:r>
      <w:r w:rsidRPr="00030692">
        <w:rPr>
          <w:lang w:val="en-US"/>
        </w:rPr>
        <w:t>God's varied grace</w:t>
      </w:r>
      <w:r>
        <w:rPr>
          <w:lang w:val="en-US"/>
        </w:rPr>
        <w:t>.</w:t>
      </w:r>
    </w:p>
    <w:p w14:paraId="78449B92" w14:textId="38B0A562" w:rsidR="00945599" w:rsidRPr="00682604" w:rsidRDefault="00945599" w:rsidP="00E46DE3">
      <w:pPr>
        <w:rPr>
          <w:lang w:val="en-US"/>
        </w:rPr>
      </w:pPr>
      <w:r w:rsidRPr="00682604">
        <w:rPr>
          <w:lang w:val="en-US"/>
        </w:rPr>
        <w:t>Peter writes a pastoral letter to people that endure intense hardships</w:t>
      </w:r>
      <w:r w:rsidR="00694F63" w:rsidRPr="00682604">
        <w:rPr>
          <w:rStyle w:val="FootnoteReference"/>
          <w:rFonts w:ascii="Arial" w:hAnsi="Arial"/>
          <w:lang w:val="en-US"/>
        </w:rPr>
        <w:footnoteReference w:id="43"/>
      </w:r>
      <w:r w:rsidRPr="00682604">
        <w:rPr>
          <w:lang w:val="en-US"/>
        </w:rPr>
        <w:t xml:space="preserve"> He guides them with his letter to live in the midst of rejection and persecution according to their new identity and calling as renewed people.</w:t>
      </w:r>
      <w:r w:rsidR="00694F63" w:rsidRPr="00682604">
        <w:rPr>
          <w:rStyle w:val="FootnoteReference"/>
          <w:rFonts w:ascii="Arial" w:hAnsi="Arial"/>
          <w:lang w:val="en-US"/>
        </w:rPr>
        <w:footnoteReference w:id="44"/>
      </w:r>
      <w:r w:rsidRPr="00682604">
        <w:rPr>
          <w:lang w:val="en-US"/>
        </w:rPr>
        <w:t xml:space="preserve"> To achieve this</w:t>
      </w:r>
      <w:r w:rsidR="002951C0">
        <w:rPr>
          <w:lang w:val="en-US"/>
        </w:rPr>
        <w:t>,</w:t>
      </w:r>
      <w:r w:rsidRPr="00682604">
        <w:rPr>
          <w:lang w:val="en-US"/>
        </w:rPr>
        <w:t xml:space="preserve"> they must show mutual friendliness and hospitality</w:t>
      </w:r>
      <w:r w:rsidR="00030692">
        <w:rPr>
          <w:lang w:val="en-US"/>
        </w:rPr>
        <w:t xml:space="preserve"> (4:9)</w:t>
      </w:r>
      <w:r w:rsidRPr="00682604">
        <w:rPr>
          <w:lang w:val="en-US"/>
        </w:rPr>
        <w:t>.</w:t>
      </w:r>
      <w:r w:rsidR="00694F63" w:rsidRPr="00682604">
        <w:rPr>
          <w:rStyle w:val="FootnoteReference"/>
          <w:rFonts w:ascii="Arial" w:hAnsi="Arial"/>
          <w:lang w:val="en-US"/>
        </w:rPr>
        <w:footnoteReference w:id="45"/>
      </w:r>
      <w:r w:rsidRPr="00682604">
        <w:rPr>
          <w:lang w:val="en-US"/>
        </w:rPr>
        <w:t xml:space="preserve"> They must understand that they are managers of God’s </w:t>
      </w:r>
      <w:r w:rsidR="00682604" w:rsidRPr="00682604">
        <w:rPr>
          <w:lang w:val="en-US"/>
        </w:rPr>
        <w:t>multi-colored</w:t>
      </w:r>
      <w:r w:rsidRPr="00682604">
        <w:rPr>
          <w:lang w:val="en-US"/>
        </w:rPr>
        <w:t xml:space="preserve"> grace by serving each other according to the gifts each of them has received</w:t>
      </w:r>
      <w:r w:rsidR="00030692">
        <w:rPr>
          <w:lang w:val="en-US"/>
        </w:rPr>
        <w:t xml:space="preserve"> (4:10)</w:t>
      </w:r>
      <w:r w:rsidRPr="00682604">
        <w:rPr>
          <w:lang w:val="en-US"/>
        </w:rPr>
        <w:t>. Those that have received gifts of teaching, have to speak the words of God. Those who have received the work of practical service</w:t>
      </w:r>
      <w:r w:rsidR="00030692">
        <w:rPr>
          <w:lang w:val="en-US"/>
        </w:rPr>
        <w:t xml:space="preserve"> </w:t>
      </w:r>
      <w:r w:rsidR="00030692" w:rsidRPr="00030692">
        <w:rPr>
          <w:lang w:val="en-US"/>
        </w:rPr>
        <w:t>(</w:t>
      </w:r>
      <w:proofErr w:type="spellStart"/>
      <w:r w:rsidR="00030692" w:rsidRPr="00030692">
        <w:rPr>
          <w:lang w:val="en-US"/>
        </w:rPr>
        <w:t>δι</w:t>
      </w:r>
      <w:proofErr w:type="spellEnd"/>
      <w:r w:rsidR="00030692" w:rsidRPr="00030692">
        <w:rPr>
          <w:lang w:val="en-US"/>
        </w:rPr>
        <w:t>ακονέω</w:t>
      </w:r>
      <w:r w:rsidR="007C237B" w:rsidRPr="00030692">
        <w:rPr>
          <w:lang w:val="en-US"/>
        </w:rPr>
        <w:t>)</w:t>
      </w:r>
      <w:r w:rsidR="00030692" w:rsidRPr="00030692">
        <w:rPr>
          <w:lang w:val="en-US"/>
        </w:rPr>
        <w:t xml:space="preserve"> </w:t>
      </w:r>
      <w:r w:rsidRPr="00682604">
        <w:rPr>
          <w:lang w:val="en-US"/>
        </w:rPr>
        <w:t>must perform it in the strength of God.</w:t>
      </w:r>
      <w:r w:rsidR="00694F63" w:rsidRPr="00682604">
        <w:rPr>
          <w:rStyle w:val="FootnoteReference"/>
          <w:rFonts w:ascii="Arial" w:hAnsi="Arial"/>
          <w:lang w:val="en-US"/>
        </w:rPr>
        <w:footnoteReference w:id="46"/>
      </w:r>
      <w:r w:rsidRPr="00682604">
        <w:rPr>
          <w:lang w:val="en-US"/>
        </w:rPr>
        <w:t xml:space="preserve"> The elders must take care of the congregation like shepherds and supervise them with the attitude that Christ taught his disciples</w:t>
      </w:r>
      <w:r w:rsidR="00030692">
        <w:rPr>
          <w:lang w:val="en-US"/>
        </w:rPr>
        <w:t xml:space="preserve"> (5:1-3)</w:t>
      </w:r>
      <w:r w:rsidRPr="00682604">
        <w:rPr>
          <w:lang w:val="en-US"/>
        </w:rPr>
        <w:t>. The whole congregation must humiliate themselves under the powerful hand of God and serve each other in anticipation that God will exalt them at the right time</w:t>
      </w:r>
      <w:r w:rsidR="00030692">
        <w:rPr>
          <w:lang w:val="en-US"/>
        </w:rPr>
        <w:t xml:space="preserve"> (5:4-6)</w:t>
      </w:r>
      <w:r w:rsidRPr="00682604">
        <w:rPr>
          <w:lang w:val="en-US"/>
        </w:rPr>
        <w:t>.</w:t>
      </w:r>
      <w:r w:rsidR="00694F63" w:rsidRPr="00682604">
        <w:rPr>
          <w:rStyle w:val="FootnoteReference"/>
          <w:rFonts w:ascii="Arial" w:hAnsi="Arial"/>
          <w:lang w:val="en-US"/>
        </w:rPr>
        <w:footnoteReference w:id="47"/>
      </w:r>
    </w:p>
    <w:p w14:paraId="7B111723" w14:textId="77777777" w:rsidR="00945599" w:rsidRPr="00682604" w:rsidRDefault="00945599" w:rsidP="00E46DE3">
      <w:pPr>
        <w:rPr>
          <w:lang w:val="en-US"/>
        </w:rPr>
      </w:pPr>
      <w:r w:rsidRPr="00682604">
        <w:rPr>
          <w:bCs/>
          <w:lang w:val="en-US"/>
        </w:rPr>
        <w:lastRenderedPageBreak/>
        <w:t>The</w:t>
      </w:r>
      <w:r w:rsidRPr="00682604">
        <w:rPr>
          <w:b/>
          <w:lang w:val="en-US"/>
        </w:rPr>
        <w:t xml:space="preserve"> essence </w:t>
      </w:r>
      <w:r w:rsidRPr="00682604">
        <w:rPr>
          <w:bCs/>
          <w:lang w:val="en-US"/>
        </w:rPr>
        <w:t>of the</w:t>
      </w:r>
      <w:r w:rsidRPr="00682604">
        <w:rPr>
          <w:b/>
          <w:lang w:val="en-US"/>
        </w:rPr>
        <w:t xml:space="preserve"> </w:t>
      </w:r>
      <w:proofErr w:type="spellStart"/>
      <w:r w:rsidRPr="00682604">
        <w:rPr>
          <w:iCs/>
          <w:lang w:val="en-US"/>
        </w:rPr>
        <w:t>δι</w:t>
      </w:r>
      <w:proofErr w:type="spellEnd"/>
      <w:r w:rsidRPr="00682604">
        <w:rPr>
          <w:iCs/>
          <w:lang w:val="en-US"/>
        </w:rPr>
        <w:t>ακονία</w:t>
      </w:r>
      <w:r w:rsidRPr="00682604">
        <w:rPr>
          <w:lang w:val="en-US"/>
        </w:rPr>
        <w:t xml:space="preserve"> according to 1 Peter 4 and 5 could be the attitude of openness found in people that humbly take care of others and do not seek their own interests or rule, and are acting in anticipation of the exaltation that God gives.</w:t>
      </w:r>
    </w:p>
    <w:p w14:paraId="59B19785" w14:textId="0EB5783B" w:rsidR="00945599" w:rsidRPr="00682604" w:rsidRDefault="00945599" w:rsidP="002951C0">
      <w:pPr>
        <w:rPr>
          <w:lang w:val="en-US"/>
        </w:rPr>
      </w:pPr>
      <w:r w:rsidRPr="00682604">
        <w:rPr>
          <w:bCs/>
          <w:lang w:val="en-US"/>
        </w:rPr>
        <w:t>The</w:t>
      </w:r>
      <w:r w:rsidRPr="00682604">
        <w:rPr>
          <w:b/>
          <w:lang w:val="en-US"/>
        </w:rPr>
        <w:t xml:space="preserve"> content</w:t>
      </w:r>
      <w:r w:rsidRPr="00682604">
        <w:rPr>
          <w:lang w:val="en-US"/>
        </w:rPr>
        <w:t xml:space="preserve"> of the </w:t>
      </w:r>
      <w:proofErr w:type="spellStart"/>
      <w:r w:rsidRPr="00682604">
        <w:rPr>
          <w:lang w:val="en-US"/>
        </w:rPr>
        <w:t>δι</w:t>
      </w:r>
      <w:proofErr w:type="spellEnd"/>
      <w:r w:rsidRPr="00682604">
        <w:rPr>
          <w:lang w:val="en-US"/>
        </w:rPr>
        <w:t xml:space="preserve">ακονία could be </w:t>
      </w:r>
      <w:r w:rsidR="00554691">
        <w:rPr>
          <w:lang w:val="en-US"/>
        </w:rPr>
        <w:t xml:space="preserve">that the </w:t>
      </w:r>
      <w:proofErr w:type="spellStart"/>
      <w:r w:rsidR="00554691" w:rsidRPr="00682604">
        <w:rPr>
          <w:iCs/>
          <w:lang w:val="en-US"/>
        </w:rPr>
        <w:t>δι</w:t>
      </w:r>
      <w:proofErr w:type="spellEnd"/>
      <w:r w:rsidR="00554691" w:rsidRPr="00682604">
        <w:rPr>
          <w:iCs/>
          <w:lang w:val="en-US"/>
        </w:rPr>
        <w:t>άκονος</w:t>
      </w:r>
      <w:r w:rsidR="00554691" w:rsidRPr="00682604">
        <w:rPr>
          <w:lang w:val="en-US"/>
        </w:rPr>
        <w:t xml:space="preserve"> </w:t>
      </w:r>
      <w:r w:rsidRPr="00682604">
        <w:rPr>
          <w:lang w:val="en-US"/>
        </w:rPr>
        <w:t xml:space="preserve">as a manager </w:t>
      </w:r>
      <w:r w:rsidR="00554691">
        <w:rPr>
          <w:lang w:val="en-US"/>
        </w:rPr>
        <w:t xml:space="preserve">has </w:t>
      </w:r>
      <w:r w:rsidRPr="00682604">
        <w:rPr>
          <w:lang w:val="en-US"/>
        </w:rPr>
        <w:t xml:space="preserve">to serve the </w:t>
      </w:r>
      <w:r w:rsidR="00682604" w:rsidRPr="00682604">
        <w:rPr>
          <w:lang w:val="en-US"/>
        </w:rPr>
        <w:t>multi-colored</w:t>
      </w:r>
      <w:r w:rsidRPr="00682604">
        <w:rPr>
          <w:lang w:val="en-US"/>
        </w:rPr>
        <w:t xml:space="preserve"> grace of God to the congregation to enable them to persevere in the midst of hardships.</w:t>
      </w:r>
    </w:p>
    <w:p w14:paraId="0D0EA242" w14:textId="7C07C568" w:rsidR="00945599" w:rsidRPr="00682604" w:rsidRDefault="00945599" w:rsidP="00C65ABD">
      <w:pPr>
        <w:pStyle w:val="Heading3"/>
        <w:rPr>
          <w:lang w:val="en-US"/>
        </w:rPr>
      </w:pPr>
      <w:bookmarkStart w:id="51" w:name="_Toc482179327"/>
      <w:bookmarkStart w:id="52" w:name="_Toc476766147"/>
      <w:bookmarkStart w:id="53" w:name="_Toc482565043"/>
      <w:bookmarkStart w:id="54" w:name="_Toc484005327"/>
      <w:bookmarkStart w:id="55" w:name="_Toc493264821"/>
      <w:r w:rsidRPr="00682604">
        <w:rPr>
          <w:lang w:val="en-US"/>
        </w:rPr>
        <w:t>1 Corinthians 12</w:t>
      </w:r>
      <w:bookmarkEnd w:id="51"/>
      <w:bookmarkEnd w:id="52"/>
      <w:bookmarkEnd w:id="53"/>
      <w:bookmarkEnd w:id="54"/>
      <w:bookmarkEnd w:id="55"/>
    </w:p>
    <w:p w14:paraId="7B1674B3" w14:textId="1AFB7324" w:rsidR="00030692" w:rsidRDefault="00030692" w:rsidP="002951C0">
      <w:pPr>
        <w:rPr>
          <w:lang w:val="en-US"/>
        </w:rPr>
      </w:pPr>
      <w:r>
        <w:rPr>
          <w:lang w:val="en-US"/>
        </w:rPr>
        <w:t>I also</w:t>
      </w:r>
      <w:r w:rsidR="000E2282" w:rsidRPr="00682604">
        <w:rPr>
          <w:lang w:val="en-US"/>
        </w:rPr>
        <w:t xml:space="preserve"> investigated </w:t>
      </w:r>
      <w:r w:rsidR="00945599" w:rsidRPr="00682604">
        <w:rPr>
          <w:lang w:val="en-US"/>
        </w:rPr>
        <w:t>1 Corinthians 12</w:t>
      </w:r>
      <w:r w:rsidR="00694F63" w:rsidRPr="00682604">
        <w:rPr>
          <w:lang w:val="en-US"/>
        </w:rPr>
        <w:t xml:space="preserve"> </w:t>
      </w:r>
      <w:r w:rsidR="00945599" w:rsidRPr="00682604">
        <w:rPr>
          <w:lang w:val="en-US"/>
        </w:rPr>
        <w:t>in view of ministry to children as representative</w:t>
      </w:r>
      <w:r w:rsidR="002951C0">
        <w:rPr>
          <w:lang w:val="en-US"/>
        </w:rPr>
        <w:t>s</w:t>
      </w:r>
      <w:r w:rsidR="00945599" w:rsidRPr="00682604">
        <w:rPr>
          <w:lang w:val="en-US"/>
        </w:rPr>
        <w:t xml:space="preserve"> of groups in the congregation that could possibly be </w:t>
      </w:r>
      <w:r w:rsidR="00A515B5">
        <w:rPr>
          <w:lang w:val="en-US"/>
        </w:rPr>
        <w:t>“</w:t>
      </w:r>
      <w:r w:rsidR="00945599" w:rsidRPr="00682604">
        <w:rPr>
          <w:lang w:val="en-US"/>
        </w:rPr>
        <w:t>outsiders</w:t>
      </w:r>
      <w:r w:rsidR="00A515B5">
        <w:rPr>
          <w:lang w:val="en-US"/>
        </w:rPr>
        <w:t>”</w:t>
      </w:r>
      <w:r w:rsidR="00945599" w:rsidRPr="00682604">
        <w:rPr>
          <w:lang w:val="en-US"/>
        </w:rPr>
        <w:t>.</w:t>
      </w:r>
      <w:r w:rsidR="00694F63" w:rsidRPr="00682604">
        <w:rPr>
          <w:rStyle w:val="FootnoteReference"/>
          <w:rFonts w:ascii="Arial" w:hAnsi="Arial"/>
          <w:lang w:val="en-US"/>
        </w:rPr>
        <w:footnoteReference w:id="48"/>
      </w:r>
      <w:r w:rsidR="00945599" w:rsidRPr="00682604">
        <w:rPr>
          <w:lang w:val="en-US"/>
        </w:rPr>
        <w:t xml:space="preserve"> </w:t>
      </w:r>
    </w:p>
    <w:p w14:paraId="31D49C0D" w14:textId="6D9BCCBE" w:rsidR="00030692" w:rsidRDefault="00030692" w:rsidP="002951C0">
      <w:pPr>
        <w:rPr>
          <w:lang w:val="en-US"/>
        </w:rPr>
      </w:pPr>
      <w:r>
        <w:rPr>
          <w:lang w:val="en-US"/>
        </w:rPr>
        <w:t xml:space="preserve">The </w:t>
      </w:r>
      <w:proofErr w:type="spellStart"/>
      <w:r>
        <w:rPr>
          <w:lang w:val="en-US"/>
        </w:rPr>
        <w:t>δι</w:t>
      </w:r>
      <w:proofErr w:type="spellEnd"/>
      <w:r>
        <w:rPr>
          <w:lang w:val="en-US"/>
        </w:rPr>
        <w:t xml:space="preserve">ακον- words </w:t>
      </w:r>
      <w:r w:rsidR="002951C0">
        <w:rPr>
          <w:lang w:val="en-US"/>
        </w:rPr>
        <w:t>are</w:t>
      </w:r>
      <w:r>
        <w:rPr>
          <w:lang w:val="en-US"/>
        </w:rPr>
        <w:t xml:space="preserve"> used in 1 Corinthians 12:</w:t>
      </w:r>
      <w:r w:rsidR="00E57D87">
        <w:rPr>
          <w:lang w:val="en-US"/>
        </w:rPr>
        <w:t>4-6</w:t>
      </w:r>
      <w:r w:rsidR="002951C0">
        <w:rPr>
          <w:lang w:val="en-US"/>
        </w:rPr>
        <w:t>,</w:t>
      </w:r>
      <w:r w:rsidR="00E57D87">
        <w:rPr>
          <w:lang w:val="en-US"/>
        </w:rPr>
        <w:t xml:space="preserve"> where Paul accentuates the variety of gifts, services (</w:t>
      </w:r>
      <w:proofErr w:type="spellStart"/>
      <w:r w:rsidR="00E57D87" w:rsidRPr="00682604">
        <w:rPr>
          <w:lang w:val="en-US"/>
        </w:rPr>
        <w:t>δι</w:t>
      </w:r>
      <w:proofErr w:type="spellEnd"/>
      <w:r w:rsidR="00E57D87" w:rsidRPr="00682604">
        <w:rPr>
          <w:lang w:val="en-US"/>
        </w:rPr>
        <w:t>ακονία</w:t>
      </w:r>
      <w:r w:rsidR="00E57D87">
        <w:rPr>
          <w:lang w:val="en-US"/>
        </w:rPr>
        <w:t xml:space="preserve">) and activities </w:t>
      </w:r>
      <w:r w:rsidR="002951C0">
        <w:rPr>
          <w:lang w:val="en-US"/>
        </w:rPr>
        <w:t>that</w:t>
      </w:r>
      <w:r w:rsidR="00E57D87">
        <w:rPr>
          <w:lang w:val="en-US"/>
        </w:rPr>
        <w:t xml:space="preserve"> is </w:t>
      </w:r>
      <w:r w:rsidR="002951C0">
        <w:rPr>
          <w:lang w:val="en-US"/>
        </w:rPr>
        <w:t>given by</w:t>
      </w:r>
      <w:r w:rsidR="00E57D87">
        <w:rPr>
          <w:lang w:val="en-US"/>
        </w:rPr>
        <w:t xml:space="preserve"> the one Tri-</w:t>
      </w:r>
      <w:proofErr w:type="spellStart"/>
      <w:r w:rsidR="00E57D87">
        <w:rPr>
          <w:lang w:val="en-US"/>
        </w:rPr>
        <w:t>une</w:t>
      </w:r>
      <w:proofErr w:type="spellEnd"/>
      <w:r w:rsidR="00E57D87">
        <w:rPr>
          <w:lang w:val="en-US"/>
        </w:rPr>
        <w:t xml:space="preserve"> God </w:t>
      </w:r>
      <w:r w:rsidR="00E57D87">
        <w:rPr>
          <w:lang w:eastAsia="x-none"/>
        </w:rPr>
        <w:t xml:space="preserve">who work all things in every-one through the </w:t>
      </w:r>
      <w:proofErr w:type="spellStart"/>
      <w:r w:rsidR="00E57D87" w:rsidRPr="00E57D87">
        <w:rPr>
          <w:lang w:eastAsia="x-none"/>
        </w:rPr>
        <w:t>δι</w:t>
      </w:r>
      <w:proofErr w:type="spellEnd"/>
      <w:r w:rsidR="00E57D87" w:rsidRPr="00E57D87">
        <w:rPr>
          <w:lang w:eastAsia="x-none"/>
        </w:rPr>
        <w:t>ακονία</w:t>
      </w:r>
      <w:r w:rsidR="00E57D87">
        <w:rPr>
          <w:lang w:eastAsia="x-none"/>
        </w:rPr>
        <w:t xml:space="preserve"> of those who use their gifts.</w:t>
      </w:r>
    </w:p>
    <w:p w14:paraId="057388C2" w14:textId="62D2284D" w:rsidR="00945599" w:rsidRPr="00682604" w:rsidRDefault="00945599" w:rsidP="00A515B5">
      <w:pPr>
        <w:rPr>
          <w:lang w:val="en-US"/>
        </w:rPr>
      </w:pPr>
      <w:r w:rsidRPr="00682604">
        <w:rPr>
          <w:lang w:val="en-US"/>
        </w:rPr>
        <w:t xml:space="preserve">The work of the Holy Spirit takes a central position in </w:t>
      </w:r>
      <w:r w:rsidR="002951C0">
        <w:rPr>
          <w:lang w:val="en-US"/>
        </w:rPr>
        <w:t xml:space="preserve">1 </w:t>
      </w:r>
      <w:r w:rsidRPr="00682604">
        <w:rPr>
          <w:lang w:val="en-US"/>
        </w:rPr>
        <w:t>Corinthians 12. He brings people to the confession that Jesus is Lord</w:t>
      </w:r>
      <w:r w:rsidR="00E57D87">
        <w:rPr>
          <w:lang w:val="en-US"/>
        </w:rPr>
        <w:t xml:space="preserve"> (12:3)</w:t>
      </w:r>
      <w:r w:rsidRPr="00682604">
        <w:rPr>
          <w:lang w:val="en-US"/>
        </w:rPr>
        <w:t>. This confession serves as a measure whether someone is led by the Spirit</w:t>
      </w:r>
      <w:r w:rsidR="00E57D87">
        <w:rPr>
          <w:lang w:val="en-US"/>
        </w:rPr>
        <w:t xml:space="preserve"> (12:2</w:t>
      </w:r>
      <w:r w:rsidR="007C237B">
        <w:rPr>
          <w:lang w:val="en-US"/>
        </w:rPr>
        <w:t>, 3</w:t>
      </w:r>
      <w:r w:rsidR="00E57D87">
        <w:rPr>
          <w:lang w:val="en-US"/>
        </w:rPr>
        <w:t>)</w:t>
      </w:r>
      <w:r w:rsidRPr="00682604">
        <w:rPr>
          <w:lang w:val="en-US"/>
        </w:rPr>
        <w:t xml:space="preserve">. The one God (Father, Son and Holy Spirit) is involved in distributing the gifts, the instruction to do </w:t>
      </w:r>
      <w:proofErr w:type="spellStart"/>
      <w:r w:rsidRPr="00682604">
        <w:rPr>
          <w:iCs/>
          <w:lang w:val="en-US"/>
        </w:rPr>
        <w:t>δι</w:t>
      </w:r>
      <w:proofErr w:type="spellEnd"/>
      <w:r w:rsidRPr="00682604">
        <w:rPr>
          <w:iCs/>
          <w:lang w:val="en-US"/>
        </w:rPr>
        <w:t>ακονία</w:t>
      </w:r>
      <w:r w:rsidRPr="00682604">
        <w:rPr>
          <w:lang w:val="en-US"/>
        </w:rPr>
        <w:t xml:space="preserve"> and the powerful work that creates everything in everyone when the gifts are used to perform diaconal servic</w:t>
      </w:r>
      <w:r w:rsidR="00694F63" w:rsidRPr="00682604">
        <w:rPr>
          <w:lang w:val="en-US"/>
        </w:rPr>
        <w:t>e</w:t>
      </w:r>
      <w:r w:rsidRPr="00682604">
        <w:rPr>
          <w:lang w:val="en-US"/>
        </w:rPr>
        <w:t>.</w:t>
      </w:r>
      <w:r w:rsidR="00694F63" w:rsidRPr="00682604">
        <w:rPr>
          <w:rStyle w:val="FootnoteReference"/>
          <w:rFonts w:ascii="Arial" w:hAnsi="Arial"/>
          <w:lang w:val="en-US"/>
        </w:rPr>
        <w:footnoteReference w:id="49"/>
      </w:r>
      <w:r w:rsidRPr="00682604">
        <w:rPr>
          <w:lang w:val="en-US"/>
        </w:rPr>
        <w:t xml:space="preserve"> The </w:t>
      </w:r>
      <w:proofErr w:type="spellStart"/>
      <w:r w:rsidRPr="00682604">
        <w:rPr>
          <w:iCs/>
          <w:lang w:val="en-US"/>
        </w:rPr>
        <w:t>δι</w:t>
      </w:r>
      <w:proofErr w:type="spellEnd"/>
      <w:r w:rsidRPr="00682604">
        <w:rPr>
          <w:iCs/>
          <w:lang w:val="en-US"/>
        </w:rPr>
        <w:t>ακονία</w:t>
      </w:r>
      <w:r w:rsidRPr="00682604">
        <w:rPr>
          <w:lang w:val="en-US"/>
        </w:rPr>
        <w:t xml:space="preserve"> is done to edify the body of Christ. The diversity found in the body is bound together in a unity by the </w:t>
      </w:r>
      <w:proofErr w:type="spellStart"/>
      <w:r w:rsidRPr="00682604">
        <w:rPr>
          <w:iCs/>
          <w:lang w:val="en-US"/>
        </w:rPr>
        <w:t>δι</w:t>
      </w:r>
      <w:proofErr w:type="spellEnd"/>
      <w:r w:rsidRPr="00682604">
        <w:rPr>
          <w:iCs/>
          <w:lang w:val="en-US"/>
        </w:rPr>
        <w:t>ακονία</w:t>
      </w:r>
      <w:r w:rsidRPr="00682604">
        <w:rPr>
          <w:lang w:val="en-US"/>
        </w:rPr>
        <w:t xml:space="preserve"> that each member does and receives. The apostles, prophets and preachers occupy a special place in activating the gifts for service</w:t>
      </w:r>
      <w:r w:rsidR="00E57D87">
        <w:rPr>
          <w:lang w:val="en-US"/>
        </w:rPr>
        <w:t xml:space="preserve"> (12:11)</w:t>
      </w:r>
      <w:r w:rsidRPr="00682604">
        <w:rPr>
          <w:lang w:val="en-US"/>
        </w:rPr>
        <w:t>.</w:t>
      </w:r>
      <w:r w:rsidR="00694F63" w:rsidRPr="00682604">
        <w:rPr>
          <w:rStyle w:val="FootnoteReference"/>
          <w:rFonts w:ascii="Arial" w:hAnsi="Arial"/>
          <w:lang w:val="en-US"/>
        </w:rPr>
        <w:footnoteReference w:id="50"/>
      </w:r>
    </w:p>
    <w:p w14:paraId="3C523898" w14:textId="33610D02" w:rsidR="00945599" w:rsidRPr="00682604" w:rsidRDefault="00945599" w:rsidP="00A00798">
      <w:pPr>
        <w:rPr>
          <w:lang w:val="en-US"/>
        </w:rPr>
      </w:pPr>
      <w:r w:rsidRPr="00682604">
        <w:rPr>
          <w:lang w:val="en-US"/>
        </w:rPr>
        <w:t>Children as part of the congregation ought to receive special attention, because they are more vulnerable (weaker) than other members of the congregation are in some respects</w:t>
      </w:r>
      <w:r w:rsidR="00E57D87">
        <w:rPr>
          <w:lang w:val="en-US"/>
        </w:rPr>
        <w:t xml:space="preserve"> (12:21)</w:t>
      </w:r>
      <w:r w:rsidRPr="00682604">
        <w:rPr>
          <w:lang w:val="en-US"/>
        </w:rPr>
        <w:t>. They must also be seen as members of the body that God has placed in a specific location and that each of them can make a special contribution to the edification of the congregation</w:t>
      </w:r>
      <w:r w:rsidR="00E57D87">
        <w:rPr>
          <w:lang w:val="en-US"/>
        </w:rPr>
        <w:t xml:space="preserve"> (12:13-21)</w:t>
      </w:r>
      <w:r w:rsidRPr="00682604">
        <w:rPr>
          <w:lang w:val="en-US"/>
        </w:rPr>
        <w:t xml:space="preserve">. The fact that </w:t>
      </w:r>
      <w:r w:rsidR="00554691">
        <w:rPr>
          <w:lang w:val="en-US"/>
        </w:rPr>
        <w:t xml:space="preserve">the </w:t>
      </w:r>
      <w:r w:rsidRPr="00682604">
        <w:rPr>
          <w:lang w:val="en-US"/>
        </w:rPr>
        <w:t xml:space="preserve">unity of the body is served because each member sees himself as a necessary yet dependent member of the body is strongly </w:t>
      </w:r>
      <w:r w:rsidR="00682604" w:rsidRPr="00682604">
        <w:rPr>
          <w:lang w:val="en-US"/>
        </w:rPr>
        <w:t>emphasized</w:t>
      </w:r>
      <w:r w:rsidRPr="00682604">
        <w:rPr>
          <w:lang w:val="en-US"/>
        </w:rPr>
        <w:t xml:space="preserve"> in 1 Corinthians 12. The relationship between gifts, service and the powerful work of God, </w:t>
      </w:r>
      <w:r w:rsidR="00554691">
        <w:rPr>
          <w:lang w:val="en-US"/>
        </w:rPr>
        <w:t>through</w:t>
      </w:r>
      <w:r w:rsidRPr="00682604">
        <w:rPr>
          <w:lang w:val="en-US"/>
        </w:rPr>
        <w:t xml:space="preserve"> </w:t>
      </w:r>
      <w:r w:rsidR="00554691">
        <w:rPr>
          <w:lang w:val="en-US"/>
        </w:rPr>
        <w:t xml:space="preserve">which </w:t>
      </w:r>
      <w:r w:rsidRPr="00682604">
        <w:rPr>
          <w:lang w:val="en-US"/>
        </w:rPr>
        <w:t xml:space="preserve">everything in everyone </w:t>
      </w:r>
      <w:r w:rsidR="00554691">
        <w:rPr>
          <w:lang w:val="en-US"/>
        </w:rPr>
        <w:t xml:space="preserve">is </w:t>
      </w:r>
      <w:r w:rsidR="00554691">
        <w:rPr>
          <w:lang w:val="en-US"/>
        </w:rPr>
        <w:lastRenderedPageBreak/>
        <w:t>brought into existence</w:t>
      </w:r>
      <w:r w:rsidRPr="00682604">
        <w:rPr>
          <w:lang w:val="en-US"/>
        </w:rPr>
        <w:t>, is also singled out. When members use their gifts to perform service</w:t>
      </w:r>
      <w:r w:rsidR="00E57D87">
        <w:rPr>
          <w:lang w:val="en-US"/>
        </w:rPr>
        <w:t xml:space="preserve"> (</w:t>
      </w:r>
      <w:proofErr w:type="spellStart"/>
      <w:r w:rsidR="00E57D87" w:rsidRPr="00682604">
        <w:rPr>
          <w:iCs/>
          <w:lang w:val="en-US"/>
        </w:rPr>
        <w:t>δι</w:t>
      </w:r>
      <w:proofErr w:type="spellEnd"/>
      <w:r w:rsidR="00E57D87" w:rsidRPr="00682604">
        <w:rPr>
          <w:iCs/>
          <w:lang w:val="en-US"/>
        </w:rPr>
        <w:t>ακονία</w:t>
      </w:r>
      <w:r w:rsidR="00E57D87">
        <w:rPr>
          <w:iCs/>
          <w:lang w:val="en-US"/>
        </w:rPr>
        <w:t>)</w:t>
      </w:r>
      <w:r w:rsidRPr="00682604">
        <w:rPr>
          <w:lang w:val="en-US"/>
        </w:rPr>
        <w:t>, God works in a powerful manner to bring about rebirth, faith, diligence and commitment in people and congregations.</w:t>
      </w:r>
      <w:r w:rsidR="00694F63" w:rsidRPr="00682604">
        <w:rPr>
          <w:rStyle w:val="FootnoteReference"/>
          <w:rFonts w:ascii="Arial" w:hAnsi="Arial"/>
          <w:lang w:val="en-US"/>
        </w:rPr>
        <w:footnoteReference w:id="51"/>
      </w:r>
    </w:p>
    <w:p w14:paraId="3951E8F3" w14:textId="05B40AE3" w:rsidR="00945599" w:rsidRPr="00682604" w:rsidRDefault="00945599" w:rsidP="00E46DE3">
      <w:pPr>
        <w:rPr>
          <w:lang w:val="en-US"/>
        </w:rPr>
      </w:pPr>
      <w:r w:rsidRPr="00682604">
        <w:rPr>
          <w:bCs/>
          <w:lang w:val="en-US"/>
        </w:rPr>
        <w:t>The</w:t>
      </w:r>
      <w:r w:rsidRPr="00682604">
        <w:rPr>
          <w:b/>
          <w:lang w:val="en-US"/>
        </w:rPr>
        <w:t xml:space="preserve"> essence</w:t>
      </w:r>
      <w:r w:rsidRPr="00682604">
        <w:rPr>
          <w:lang w:val="en-US"/>
        </w:rPr>
        <w:t xml:space="preserve"> of </w:t>
      </w:r>
      <w:proofErr w:type="spellStart"/>
      <w:r w:rsidRPr="00682604">
        <w:rPr>
          <w:iCs/>
          <w:lang w:val="en-US"/>
        </w:rPr>
        <w:t>δι</w:t>
      </w:r>
      <w:proofErr w:type="spellEnd"/>
      <w:r w:rsidRPr="00682604">
        <w:rPr>
          <w:iCs/>
          <w:lang w:val="en-US"/>
        </w:rPr>
        <w:t>ακονία</w:t>
      </w:r>
      <w:r w:rsidRPr="00682604">
        <w:rPr>
          <w:lang w:val="en-US"/>
        </w:rPr>
        <w:t xml:space="preserve"> according to 1 Corinthians 12 could be that it flows forth from the fact that the Spirit gives gifts and that God works powerfully through them to bring about everything in everyone. The </w:t>
      </w:r>
      <w:proofErr w:type="spellStart"/>
      <w:r w:rsidRPr="00682604">
        <w:rPr>
          <w:iCs/>
          <w:lang w:val="en-US"/>
        </w:rPr>
        <w:t>δι</w:t>
      </w:r>
      <w:proofErr w:type="spellEnd"/>
      <w:r w:rsidRPr="00682604">
        <w:rPr>
          <w:iCs/>
          <w:lang w:val="en-US"/>
        </w:rPr>
        <w:t>ακονία</w:t>
      </w:r>
      <w:r w:rsidRPr="00682604">
        <w:rPr>
          <w:lang w:val="en-US"/>
        </w:rPr>
        <w:t xml:space="preserve"> is built on the confession that Jesus is Lord, which contrasts to a life in the power of mute idols. </w:t>
      </w:r>
      <w:proofErr w:type="spellStart"/>
      <w:r w:rsidR="00997B56" w:rsidRPr="00682604">
        <w:rPr>
          <w:lang w:val="en-US"/>
        </w:rPr>
        <w:t>Δι</w:t>
      </w:r>
      <w:proofErr w:type="spellEnd"/>
      <w:r w:rsidR="00997B56" w:rsidRPr="00682604">
        <w:rPr>
          <w:lang w:val="en-US"/>
        </w:rPr>
        <w:t>ακονία</w:t>
      </w:r>
      <w:r w:rsidR="006E2D06" w:rsidRPr="00682604">
        <w:rPr>
          <w:lang w:val="en-US"/>
        </w:rPr>
        <w:t xml:space="preserve"> includes everyone that is part of the congregation.</w:t>
      </w:r>
    </w:p>
    <w:p w14:paraId="166281EE" w14:textId="3EEA9B60" w:rsidR="00945599" w:rsidRPr="00682604" w:rsidRDefault="00945599" w:rsidP="00E46DE3">
      <w:pPr>
        <w:rPr>
          <w:lang w:val="en-US"/>
        </w:rPr>
      </w:pPr>
      <w:r w:rsidRPr="00682604">
        <w:rPr>
          <w:bCs/>
          <w:lang w:val="en-US"/>
        </w:rPr>
        <w:t>The</w:t>
      </w:r>
      <w:r w:rsidRPr="00682604">
        <w:rPr>
          <w:b/>
          <w:lang w:val="en-US"/>
        </w:rPr>
        <w:t xml:space="preserve"> content</w:t>
      </w:r>
      <w:r w:rsidRPr="00682604">
        <w:rPr>
          <w:lang w:val="en-US"/>
        </w:rPr>
        <w:t xml:space="preserve"> of the </w:t>
      </w:r>
      <w:proofErr w:type="spellStart"/>
      <w:r w:rsidRPr="00682604">
        <w:rPr>
          <w:iCs/>
          <w:lang w:val="en-US"/>
        </w:rPr>
        <w:t>δι</w:t>
      </w:r>
      <w:proofErr w:type="spellEnd"/>
      <w:r w:rsidRPr="00682604">
        <w:rPr>
          <w:iCs/>
          <w:lang w:val="en-US"/>
        </w:rPr>
        <w:t>ακονία</w:t>
      </w:r>
      <w:r w:rsidRPr="00682604">
        <w:rPr>
          <w:lang w:val="en-US"/>
        </w:rPr>
        <w:t xml:space="preserve"> could be active </w:t>
      </w:r>
      <w:r w:rsidR="00CD5939" w:rsidRPr="00682604">
        <w:rPr>
          <w:lang w:val="en-US"/>
        </w:rPr>
        <w:t>in</w:t>
      </w:r>
      <w:r w:rsidRPr="00682604">
        <w:rPr>
          <w:lang w:val="en-US"/>
        </w:rPr>
        <w:t xml:space="preserve"> intimate involvement with other members of the congregation, the </w:t>
      </w:r>
      <w:r w:rsidR="00682604" w:rsidRPr="00682604">
        <w:rPr>
          <w:lang w:val="en-US"/>
        </w:rPr>
        <w:t>utilization</w:t>
      </w:r>
      <w:r w:rsidRPr="00682604">
        <w:rPr>
          <w:lang w:val="en-US"/>
        </w:rPr>
        <w:t xml:space="preserve"> of gifts to edify the congregation and the reception of the ministry by </w:t>
      </w:r>
      <w:r w:rsidR="006E2D06" w:rsidRPr="00682604">
        <w:rPr>
          <w:lang w:val="en-US"/>
        </w:rPr>
        <w:t xml:space="preserve">every </w:t>
      </w:r>
      <w:r w:rsidRPr="00682604">
        <w:rPr>
          <w:lang w:val="en-US"/>
        </w:rPr>
        <w:t>other member.</w:t>
      </w:r>
    </w:p>
    <w:p w14:paraId="5C1F3E28" w14:textId="0947B2B1" w:rsidR="000E2282" w:rsidRPr="00682604" w:rsidRDefault="00855320" w:rsidP="00C65ABD">
      <w:pPr>
        <w:pStyle w:val="Heading2"/>
        <w:rPr>
          <w:lang w:val="en-US"/>
        </w:rPr>
      </w:pPr>
      <w:bookmarkStart w:id="56" w:name="_Toc493264822"/>
      <w:r w:rsidRPr="00682604">
        <w:rPr>
          <w:lang w:val="en-US"/>
        </w:rPr>
        <w:t>7</w:t>
      </w:r>
      <w:r w:rsidRPr="00682604">
        <w:rPr>
          <w:lang w:val="en-US"/>
        </w:rPr>
        <w:tab/>
      </w:r>
      <w:r w:rsidR="000978A8" w:rsidRPr="00682604">
        <w:rPr>
          <w:lang w:val="en-US"/>
        </w:rPr>
        <w:t>Conclusion</w:t>
      </w:r>
      <w:bookmarkEnd w:id="56"/>
    </w:p>
    <w:p w14:paraId="1EB588BF" w14:textId="0F0F80C1" w:rsidR="00573C49" w:rsidRPr="00682604" w:rsidRDefault="000978A8" w:rsidP="00A00798">
      <w:pPr>
        <w:rPr>
          <w:lang w:val="en-US"/>
        </w:rPr>
      </w:pPr>
      <w:r w:rsidRPr="00682604">
        <w:rPr>
          <w:lang w:val="en-US"/>
        </w:rPr>
        <w:t>By investigating the meaning of the</w:t>
      </w:r>
      <w:r w:rsidR="00997B56" w:rsidRPr="00682604">
        <w:rPr>
          <w:lang w:val="en-US"/>
        </w:rPr>
        <w:t xml:space="preserve"> </w:t>
      </w:r>
      <w:proofErr w:type="spellStart"/>
      <w:r w:rsidR="00997B56" w:rsidRPr="00682604">
        <w:rPr>
          <w:lang w:val="en-US"/>
        </w:rPr>
        <w:t>δι</w:t>
      </w:r>
      <w:proofErr w:type="spellEnd"/>
      <w:r w:rsidR="00997B56" w:rsidRPr="00682604">
        <w:rPr>
          <w:lang w:val="en-US"/>
        </w:rPr>
        <w:t>άκον</w:t>
      </w:r>
      <w:r w:rsidR="00997B56" w:rsidRPr="00682604">
        <w:rPr>
          <w:iCs/>
          <w:lang w:val="en-US"/>
        </w:rPr>
        <w:t>-</w:t>
      </w:r>
      <w:r w:rsidR="00997B56" w:rsidRPr="00682604">
        <w:rPr>
          <w:lang w:val="en-US"/>
        </w:rPr>
        <w:t xml:space="preserve"> word group</w:t>
      </w:r>
      <w:r w:rsidRPr="00682604">
        <w:rPr>
          <w:lang w:val="en-US"/>
        </w:rPr>
        <w:t xml:space="preserve"> in several New Testament parts, guidelines </w:t>
      </w:r>
      <w:r w:rsidR="00554691">
        <w:rPr>
          <w:lang w:val="en-US"/>
        </w:rPr>
        <w:t>have been</w:t>
      </w:r>
      <w:r w:rsidRPr="00682604">
        <w:rPr>
          <w:lang w:val="en-US"/>
        </w:rPr>
        <w:t xml:space="preserve"> established as to what the essence and content of the </w:t>
      </w:r>
      <w:proofErr w:type="spellStart"/>
      <w:r w:rsidR="00997B56" w:rsidRPr="00682604">
        <w:rPr>
          <w:lang w:val="en-US"/>
        </w:rPr>
        <w:t>δι</w:t>
      </w:r>
      <w:proofErr w:type="spellEnd"/>
      <w:r w:rsidR="00997B56" w:rsidRPr="00682604">
        <w:rPr>
          <w:lang w:val="en-US"/>
        </w:rPr>
        <w:t>ακονία</w:t>
      </w:r>
      <w:r w:rsidRPr="00682604">
        <w:rPr>
          <w:lang w:val="en-US"/>
        </w:rPr>
        <w:t xml:space="preserve"> of the </w:t>
      </w:r>
      <w:proofErr w:type="spellStart"/>
      <w:r w:rsidR="00997B56" w:rsidRPr="00682604">
        <w:rPr>
          <w:lang w:val="en-US"/>
        </w:rPr>
        <w:t>δι</w:t>
      </w:r>
      <w:proofErr w:type="spellEnd"/>
      <w:r w:rsidR="00997B56" w:rsidRPr="00682604">
        <w:rPr>
          <w:lang w:val="en-US"/>
        </w:rPr>
        <w:t>άκονος</w:t>
      </w:r>
      <w:r w:rsidRPr="00682604">
        <w:rPr>
          <w:lang w:val="en-US"/>
        </w:rPr>
        <w:t xml:space="preserve"> in the New Testament could have entailed. </w:t>
      </w:r>
      <w:r w:rsidR="001D7F58">
        <w:rPr>
          <w:lang w:val="en-US"/>
        </w:rPr>
        <w:t xml:space="preserve">These results can lay the foundation </w:t>
      </w:r>
      <w:r w:rsidR="00ED220A">
        <w:rPr>
          <w:lang w:val="en-US"/>
        </w:rPr>
        <w:t>for further research</w:t>
      </w:r>
      <w:r w:rsidR="001D7F58">
        <w:rPr>
          <w:lang w:val="en-US"/>
        </w:rPr>
        <w:t xml:space="preserve"> into the task of the deacon</w:t>
      </w:r>
      <w:r w:rsidR="00A00798">
        <w:rPr>
          <w:lang w:val="en-US"/>
        </w:rPr>
        <w:t xml:space="preserve"> as</w:t>
      </w:r>
      <w:r w:rsidR="001D7F58">
        <w:rPr>
          <w:lang w:val="en-US"/>
        </w:rPr>
        <w:t xml:space="preserve"> derived from the </w:t>
      </w:r>
      <w:proofErr w:type="spellStart"/>
      <w:r w:rsidR="001D7F58" w:rsidRPr="001D7F58">
        <w:rPr>
          <w:lang w:val="en-US"/>
        </w:rPr>
        <w:t>δι</w:t>
      </w:r>
      <w:proofErr w:type="spellEnd"/>
      <w:r w:rsidR="001D7F58" w:rsidRPr="001D7F58">
        <w:rPr>
          <w:lang w:val="en-US"/>
        </w:rPr>
        <w:t>άκον- word group</w:t>
      </w:r>
      <w:r w:rsidR="001D7F58">
        <w:rPr>
          <w:lang w:val="en-US"/>
        </w:rPr>
        <w:t xml:space="preserve"> in the New Testament</w:t>
      </w:r>
      <w:r w:rsidR="00ED220A" w:rsidRPr="001D7F58">
        <w:rPr>
          <w:lang w:val="en-US"/>
        </w:rPr>
        <w:t>.</w:t>
      </w:r>
      <w:r w:rsidR="00ED220A">
        <w:rPr>
          <w:lang w:val="en-US"/>
        </w:rPr>
        <w:t xml:space="preserve"> </w:t>
      </w:r>
      <w:r w:rsidR="00A00798" w:rsidRPr="00682604">
        <w:rPr>
          <w:lang w:val="en-US"/>
        </w:rPr>
        <w:t xml:space="preserve">Further </w:t>
      </w:r>
      <w:r w:rsidRPr="00682604">
        <w:rPr>
          <w:lang w:val="en-US"/>
        </w:rPr>
        <w:t>research</w:t>
      </w:r>
      <w:r w:rsidR="00A00798">
        <w:rPr>
          <w:lang w:val="en-US"/>
        </w:rPr>
        <w:t>, however,</w:t>
      </w:r>
      <w:r w:rsidRPr="00682604">
        <w:rPr>
          <w:lang w:val="en-US"/>
        </w:rPr>
        <w:t xml:space="preserve"> wil</w:t>
      </w:r>
      <w:r w:rsidR="00B75264" w:rsidRPr="00682604">
        <w:rPr>
          <w:lang w:val="en-US"/>
        </w:rPr>
        <w:t xml:space="preserve">l have to be done on the </w:t>
      </w:r>
      <w:proofErr w:type="spellStart"/>
      <w:r w:rsidR="00997B56" w:rsidRPr="00682604">
        <w:rPr>
          <w:lang w:val="en-US"/>
        </w:rPr>
        <w:t>δι</w:t>
      </w:r>
      <w:proofErr w:type="spellEnd"/>
      <w:r w:rsidR="00997B56" w:rsidRPr="00682604">
        <w:rPr>
          <w:lang w:val="en-US"/>
        </w:rPr>
        <w:t>άκονος</w:t>
      </w:r>
      <w:r w:rsidR="00B75264" w:rsidRPr="00682604">
        <w:rPr>
          <w:lang w:val="en-US"/>
        </w:rPr>
        <w:t xml:space="preserve"> that was a leader</w:t>
      </w:r>
      <w:r w:rsidRPr="00682604">
        <w:rPr>
          <w:lang w:val="en-US"/>
        </w:rPr>
        <w:t xml:space="preserve"> before conclusions could be made </w:t>
      </w:r>
      <w:r w:rsidR="00554691">
        <w:rPr>
          <w:lang w:val="en-US"/>
        </w:rPr>
        <w:t>about</w:t>
      </w:r>
      <w:r w:rsidRPr="00682604">
        <w:rPr>
          <w:lang w:val="en-US"/>
        </w:rPr>
        <w:t xml:space="preserve"> the content and essence of the deacon in the church today. It w</w:t>
      </w:r>
      <w:r w:rsidR="00B75264" w:rsidRPr="00682604">
        <w:rPr>
          <w:lang w:val="en-US"/>
        </w:rPr>
        <w:t xml:space="preserve">ill be important to compare the different semantic possibilities in which the </w:t>
      </w:r>
      <w:proofErr w:type="spellStart"/>
      <w:r w:rsidR="00997B56" w:rsidRPr="00682604">
        <w:rPr>
          <w:lang w:val="en-US"/>
        </w:rPr>
        <w:t>δι</w:t>
      </w:r>
      <w:proofErr w:type="spellEnd"/>
      <w:r w:rsidR="00997B56" w:rsidRPr="00682604">
        <w:rPr>
          <w:lang w:val="en-US"/>
        </w:rPr>
        <w:t>άκον</w:t>
      </w:r>
      <w:r w:rsidR="00997B56" w:rsidRPr="00682604">
        <w:rPr>
          <w:iCs/>
          <w:lang w:val="en-US"/>
        </w:rPr>
        <w:t>-</w:t>
      </w:r>
      <w:r w:rsidR="00997B56" w:rsidRPr="00682604">
        <w:rPr>
          <w:lang w:val="en-US"/>
        </w:rPr>
        <w:t xml:space="preserve"> word group</w:t>
      </w:r>
      <w:r w:rsidR="00B75264" w:rsidRPr="00682604">
        <w:rPr>
          <w:lang w:val="en-US"/>
        </w:rPr>
        <w:t xml:space="preserve"> occurs in the sections investigated to establish if different authors use the word with concurring semantic possibilities. In such an analysis, the sections in which the same semantic possibility is </w:t>
      </w:r>
      <w:r w:rsidR="00682604" w:rsidRPr="00682604">
        <w:rPr>
          <w:lang w:val="en-US"/>
        </w:rPr>
        <w:t>actualized</w:t>
      </w:r>
      <w:r w:rsidR="00B75264" w:rsidRPr="00682604">
        <w:rPr>
          <w:lang w:val="en-US"/>
        </w:rPr>
        <w:t xml:space="preserve"> by the authors can </w:t>
      </w:r>
      <w:r w:rsidR="00A00798" w:rsidRPr="00682604">
        <w:rPr>
          <w:lang w:val="en-US"/>
        </w:rPr>
        <w:t>possibl</w:t>
      </w:r>
      <w:r w:rsidR="00A00798">
        <w:rPr>
          <w:lang w:val="en-US"/>
        </w:rPr>
        <w:t>y</w:t>
      </w:r>
      <w:r w:rsidR="00A00798" w:rsidRPr="00682604">
        <w:rPr>
          <w:lang w:val="en-US"/>
        </w:rPr>
        <w:t xml:space="preserve"> </w:t>
      </w:r>
      <w:r w:rsidR="00B75264" w:rsidRPr="00682604">
        <w:rPr>
          <w:lang w:val="en-US"/>
        </w:rPr>
        <w:t xml:space="preserve">be combined to identify the different concepts (themes) that have been applied to the </w:t>
      </w:r>
      <w:proofErr w:type="spellStart"/>
      <w:r w:rsidR="00B75264" w:rsidRPr="00682604">
        <w:rPr>
          <w:lang w:val="en-US"/>
        </w:rPr>
        <w:t>δι</w:t>
      </w:r>
      <w:proofErr w:type="spellEnd"/>
      <w:r w:rsidR="00B75264" w:rsidRPr="00682604">
        <w:rPr>
          <w:lang w:val="en-US"/>
        </w:rPr>
        <w:t>άκον- word group. F</w:t>
      </w:r>
      <w:r w:rsidR="00ED220A">
        <w:rPr>
          <w:lang w:val="en-US"/>
        </w:rPr>
        <w:t xml:space="preserve">rom the results </w:t>
      </w:r>
      <w:r w:rsidR="00B75264" w:rsidRPr="00682604">
        <w:rPr>
          <w:lang w:val="en-US"/>
        </w:rPr>
        <w:t xml:space="preserve">of the research done on the </w:t>
      </w:r>
      <w:proofErr w:type="spellStart"/>
      <w:r w:rsidR="00997B56" w:rsidRPr="00682604">
        <w:rPr>
          <w:lang w:val="en-US"/>
        </w:rPr>
        <w:t>δι</w:t>
      </w:r>
      <w:proofErr w:type="spellEnd"/>
      <w:r w:rsidR="00997B56" w:rsidRPr="00682604">
        <w:rPr>
          <w:lang w:val="en-US"/>
        </w:rPr>
        <w:t>ακονία</w:t>
      </w:r>
      <w:r w:rsidR="00B75264" w:rsidRPr="00682604">
        <w:rPr>
          <w:lang w:val="en-US"/>
        </w:rPr>
        <w:t xml:space="preserve"> of the </w:t>
      </w:r>
      <w:proofErr w:type="spellStart"/>
      <w:r w:rsidR="00997B56" w:rsidRPr="00682604">
        <w:rPr>
          <w:lang w:val="en-US"/>
        </w:rPr>
        <w:t>δι</w:t>
      </w:r>
      <w:proofErr w:type="spellEnd"/>
      <w:r w:rsidR="00997B56" w:rsidRPr="00682604">
        <w:rPr>
          <w:lang w:val="en-US"/>
        </w:rPr>
        <w:t>άκονος</w:t>
      </w:r>
      <w:r w:rsidR="00B75264" w:rsidRPr="00682604">
        <w:rPr>
          <w:lang w:val="en-US"/>
        </w:rPr>
        <w:t xml:space="preserve"> (in this article)</w:t>
      </w:r>
      <w:r w:rsidR="00997B56" w:rsidRPr="00682604">
        <w:rPr>
          <w:lang w:val="en-US"/>
        </w:rPr>
        <w:t xml:space="preserve"> and the results of </w:t>
      </w:r>
      <w:r w:rsidR="00B75264" w:rsidRPr="00682604">
        <w:rPr>
          <w:lang w:val="en-US"/>
        </w:rPr>
        <w:t xml:space="preserve">research </w:t>
      </w:r>
      <w:r w:rsidR="00ED220A">
        <w:rPr>
          <w:lang w:val="en-US"/>
        </w:rPr>
        <w:t xml:space="preserve">that can be done </w:t>
      </w:r>
      <w:r w:rsidR="00B75264" w:rsidRPr="00682604">
        <w:rPr>
          <w:lang w:val="en-US"/>
        </w:rPr>
        <w:t xml:space="preserve">on the </w:t>
      </w:r>
      <w:proofErr w:type="spellStart"/>
      <w:r w:rsidR="00997B56" w:rsidRPr="00682604">
        <w:rPr>
          <w:lang w:val="en-US"/>
        </w:rPr>
        <w:t>δι</w:t>
      </w:r>
      <w:proofErr w:type="spellEnd"/>
      <w:r w:rsidR="00997B56" w:rsidRPr="00682604">
        <w:rPr>
          <w:lang w:val="en-US"/>
        </w:rPr>
        <w:t>άκονος</w:t>
      </w:r>
      <w:r w:rsidR="00B75264" w:rsidRPr="00682604">
        <w:rPr>
          <w:lang w:val="en-US"/>
        </w:rPr>
        <w:t xml:space="preserve"> as leader in the church</w:t>
      </w:r>
      <w:r w:rsidR="00997B56" w:rsidRPr="00682604">
        <w:rPr>
          <w:lang w:val="en-US"/>
        </w:rPr>
        <w:t>,</w:t>
      </w:r>
      <w:r w:rsidR="00B75264" w:rsidRPr="00682604">
        <w:rPr>
          <w:lang w:val="en-US"/>
        </w:rPr>
        <w:t xml:space="preserve"> it might be possible to glean guidelines for the work of the deacon today.</w:t>
      </w:r>
      <w:r w:rsidR="00ED220A">
        <w:rPr>
          <w:lang w:val="en-US"/>
        </w:rPr>
        <w:t xml:space="preserve"> </w:t>
      </w:r>
    </w:p>
    <w:p w14:paraId="76186403" w14:textId="2D33E99E" w:rsidR="003E639C" w:rsidRPr="00682604" w:rsidRDefault="003E639C" w:rsidP="00E46DE3">
      <w:pPr>
        <w:rPr>
          <w:lang w:val="en-US"/>
        </w:rPr>
      </w:pPr>
      <w:bookmarkStart w:id="57" w:name="_GoBack"/>
      <w:bookmarkEnd w:id="57"/>
    </w:p>
    <w:sectPr w:rsidR="003E639C" w:rsidRPr="00682604" w:rsidSect="001F5F76">
      <w:footerReference w:type="default" r:id="rId9"/>
      <w:pgSz w:w="11906" w:h="16838"/>
      <w:pgMar w:top="1440" w:right="1440" w:bottom="1440" w:left="1440" w:header="708" w:footer="708"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6">
      <wne:acd wne:acdName="acd0"/>
    </wne:keymap>
  </wne:keymaps>
  <wne:toolbars>
    <wne:acdManifest>
      <wne:acdEntry wne:acdName="acd0"/>
    </wne:acdManifest>
  </wne:toolbars>
  <wne:acds>
    <wne:acd wne:argValue="AgBKAFQAVABfAEUAbgBkAG4AbwB0AGUA" wne:acdName="acd0"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F1112" w14:textId="77777777" w:rsidR="00AA2793" w:rsidRDefault="00AA2793" w:rsidP="00E46DE3">
      <w:r>
        <w:separator/>
      </w:r>
    </w:p>
  </w:endnote>
  <w:endnote w:type="continuationSeparator" w:id="0">
    <w:p w14:paraId="3A7B01E3" w14:textId="77777777" w:rsidR="00AA2793" w:rsidRDefault="00AA2793" w:rsidP="00E4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alatino">
    <w:altName w:val="Palatin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066142"/>
      <w:docPartObj>
        <w:docPartGallery w:val="Page Numbers (Bottom of Page)"/>
        <w:docPartUnique/>
      </w:docPartObj>
    </w:sdtPr>
    <w:sdtEndPr>
      <w:rPr>
        <w:noProof/>
      </w:rPr>
    </w:sdtEndPr>
    <w:sdtContent>
      <w:p w14:paraId="7294BCF0" w14:textId="7669B9ED" w:rsidR="009C2066" w:rsidRDefault="009C2066">
        <w:pPr>
          <w:pStyle w:val="Footer"/>
          <w:jc w:val="center"/>
        </w:pPr>
        <w:r>
          <w:fldChar w:fldCharType="begin"/>
        </w:r>
        <w:r>
          <w:instrText xml:space="preserve"> PAGE   \* MERGEFORMAT </w:instrText>
        </w:r>
        <w:r>
          <w:fldChar w:fldCharType="separate"/>
        </w:r>
        <w:r w:rsidR="00CD704A">
          <w:rPr>
            <w:noProof/>
          </w:rPr>
          <w:t>13</w:t>
        </w:r>
        <w:r>
          <w:rPr>
            <w:noProof/>
          </w:rPr>
          <w:fldChar w:fldCharType="end"/>
        </w:r>
      </w:p>
    </w:sdtContent>
  </w:sdt>
  <w:p w14:paraId="7764BF8E" w14:textId="77777777" w:rsidR="009C2066" w:rsidRDefault="009C2066" w:rsidP="00E46D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703CF" w14:textId="77777777" w:rsidR="00AA2793" w:rsidRDefault="00AA2793" w:rsidP="00E46DE3">
      <w:r>
        <w:separator/>
      </w:r>
    </w:p>
  </w:footnote>
  <w:footnote w:type="continuationSeparator" w:id="0">
    <w:p w14:paraId="327EB7CA" w14:textId="77777777" w:rsidR="00AA2793" w:rsidRDefault="00AA2793" w:rsidP="00E46DE3">
      <w:r>
        <w:continuationSeparator/>
      </w:r>
    </w:p>
  </w:footnote>
  <w:footnote w:id="1">
    <w:p w14:paraId="41C28706" w14:textId="60CB207D" w:rsidR="009C2066" w:rsidRPr="00543FEA" w:rsidRDefault="009C2066" w:rsidP="004964DE">
      <w:pPr>
        <w:pStyle w:val="JTTEndnote"/>
        <w:spacing w:line="360" w:lineRule="auto"/>
        <w:rPr>
          <w:rFonts w:cs="Times New Roman"/>
          <w:sz w:val="20"/>
        </w:rPr>
      </w:pPr>
      <w:r w:rsidRPr="00543FEA">
        <w:rPr>
          <w:rStyle w:val="FootnoteReference"/>
          <w:rFonts w:cs="Times New Roman"/>
          <w:sz w:val="20"/>
        </w:rPr>
        <w:footnoteRef/>
      </w:r>
      <w:r w:rsidRPr="00543FEA">
        <w:rPr>
          <w:rFonts w:cs="Times New Roman"/>
          <w:sz w:val="20"/>
        </w:rPr>
        <w:t xml:space="preserve"> </w:t>
      </w:r>
      <w:r w:rsidRPr="00543FEA">
        <w:rPr>
          <w:rFonts w:cs="Times New Roman"/>
          <w:sz w:val="20"/>
          <w:lang w:val="en-ZA"/>
        </w:rPr>
        <w:t>Gert Breed, "</w:t>
      </w:r>
      <w:proofErr w:type="spellStart"/>
      <w:r w:rsidRPr="00543FEA">
        <w:rPr>
          <w:rFonts w:cs="Times New Roman"/>
          <w:sz w:val="20"/>
          <w:lang w:val="en-ZA"/>
        </w:rPr>
        <w:t>Nuut</w:t>
      </w:r>
      <w:proofErr w:type="spellEnd"/>
      <w:r w:rsidRPr="00543FEA">
        <w:rPr>
          <w:rFonts w:cs="Times New Roman"/>
          <w:sz w:val="20"/>
          <w:lang w:val="en-ZA"/>
        </w:rPr>
        <w:t xml:space="preserve"> </w:t>
      </w:r>
      <w:proofErr w:type="spellStart"/>
      <w:r w:rsidRPr="00543FEA">
        <w:rPr>
          <w:rFonts w:cs="Times New Roman"/>
          <w:sz w:val="20"/>
          <w:lang w:val="en-ZA"/>
        </w:rPr>
        <w:t>Gedink</w:t>
      </w:r>
      <w:proofErr w:type="spellEnd"/>
      <w:r w:rsidRPr="00543FEA">
        <w:rPr>
          <w:rFonts w:cs="Times New Roman"/>
          <w:sz w:val="20"/>
          <w:lang w:val="en-ZA"/>
        </w:rPr>
        <w:t xml:space="preserve"> </w:t>
      </w:r>
      <w:proofErr w:type="spellStart"/>
      <w:r w:rsidRPr="00543FEA">
        <w:rPr>
          <w:rFonts w:cs="Times New Roman"/>
          <w:sz w:val="20"/>
          <w:lang w:val="en-ZA"/>
        </w:rPr>
        <w:t>Oor</w:t>
      </w:r>
      <w:proofErr w:type="spellEnd"/>
      <w:r w:rsidRPr="00543FEA">
        <w:rPr>
          <w:rFonts w:cs="Times New Roman"/>
          <w:sz w:val="20"/>
          <w:lang w:val="en-ZA"/>
        </w:rPr>
        <w:t xml:space="preserve"> die </w:t>
      </w:r>
      <w:proofErr w:type="spellStart"/>
      <w:r w:rsidRPr="00543FEA">
        <w:rPr>
          <w:rFonts w:cs="Times New Roman"/>
          <w:sz w:val="20"/>
          <w:lang w:val="en-ZA"/>
        </w:rPr>
        <w:t>Wese</w:t>
      </w:r>
      <w:proofErr w:type="spellEnd"/>
      <w:r w:rsidRPr="00543FEA">
        <w:rPr>
          <w:rFonts w:cs="Times New Roman"/>
          <w:sz w:val="20"/>
          <w:lang w:val="en-ZA"/>
        </w:rPr>
        <w:t xml:space="preserve"> </w:t>
      </w:r>
      <w:proofErr w:type="spellStart"/>
      <w:r w:rsidRPr="00543FEA">
        <w:rPr>
          <w:rFonts w:cs="Times New Roman"/>
          <w:sz w:val="20"/>
          <w:lang w:val="en-ZA"/>
        </w:rPr>
        <w:t>en</w:t>
      </w:r>
      <w:proofErr w:type="spellEnd"/>
      <w:r w:rsidRPr="00543FEA">
        <w:rPr>
          <w:rFonts w:cs="Times New Roman"/>
          <w:sz w:val="20"/>
          <w:lang w:val="en-ZA"/>
        </w:rPr>
        <w:t xml:space="preserve"> </w:t>
      </w:r>
      <w:proofErr w:type="spellStart"/>
      <w:r w:rsidRPr="00543FEA">
        <w:rPr>
          <w:rFonts w:cs="Times New Roman"/>
          <w:sz w:val="20"/>
          <w:lang w:val="en-ZA"/>
        </w:rPr>
        <w:t>Inhoud</w:t>
      </w:r>
      <w:proofErr w:type="spellEnd"/>
      <w:r w:rsidRPr="00543FEA">
        <w:rPr>
          <w:rFonts w:cs="Times New Roman"/>
          <w:sz w:val="20"/>
          <w:lang w:val="en-ZA"/>
        </w:rPr>
        <w:t xml:space="preserve"> van die </w:t>
      </w:r>
      <w:proofErr w:type="spellStart"/>
      <w:r w:rsidRPr="00543FEA">
        <w:rPr>
          <w:rFonts w:cs="Times New Roman"/>
          <w:sz w:val="20"/>
          <w:lang w:val="en-ZA"/>
        </w:rPr>
        <w:t>Dienswerk</w:t>
      </w:r>
      <w:proofErr w:type="spellEnd"/>
      <w:r w:rsidRPr="00543FEA">
        <w:rPr>
          <w:rFonts w:cs="Times New Roman"/>
          <w:sz w:val="20"/>
          <w:lang w:val="en-ZA"/>
        </w:rPr>
        <w:t xml:space="preserve"> van die </w:t>
      </w:r>
      <w:proofErr w:type="spellStart"/>
      <w:r w:rsidRPr="00543FEA">
        <w:rPr>
          <w:rFonts w:cs="Times New Roman"/>
          <w:sz w:val="20"/>
          <w:lang w:val="en-ZA"/>
        </w:rPr>
        <w:t>Diaken</w:t>
      </w:r>
      <w:proofErr w:type="spellEnd"/>
      <w:r w:rsidRPr="00543FEA">
        <w:rPr>
          <w:rFonts w:cs="Times New Roman"/>
          <w:sz w:val="20"/>
          <w:lang w:val="en-ZA"/>
        </w:rPr>
        <w:t>”</w:t>
      </w:r>
      <w:proofErr w:type="gramStart"/>
      <w:r w:rsidRPr="00543FEA">
        <w:rPr>
          <w:rFonts w:cs="Times New Roman"/>
          <w:sz w:val="20"/>
          <w:lang w:val="en-ZA"/>
        </w:rPr>
        <w:t>/“</w:t>
      </w:r>
      <w:proofErr w:type="gramEnd"/>
      <w:r w:rsidRPr="00543FEA">
        <w:rPr>
          <w:rFonts w:cs="Times New Roman"/>
          <w:sz w:val="20"/>
          <w:lang w:val="en-ZA"/>
        </w:rPr>
        <w:t xml:space="preserve">Thinking New on the Essence and Content of the Service of the Deacon,” </w:t>
      </w:r>
      <w:r w:rsidRPr="00543FEA">
        <w:rPr>
          <w:rFonts w:cs="Times New Roman"/>
          <w:i/>
          <w:sz w:val="20"/>
          <w:lang w:val="en-ZA"/>
        </w:rPr>
        <w:t xml:space="preserve">HTS </w:t>
      </w:r>
      <w:proofErr w:type="spellStart"/>
      <w:r w:rsidRPr="00543FEA">
        <w:rPr>
          <w:rFonts w:cs="Times New Roman"/>
          <w:i/>
          <w:sz w:val="20"/>
          <w:lang w:val="en-ZA"/>
        </w:rPr>
        <w:t>Teologiese</w:t>
      </w:r>
      <w:proofErr w:type="spellEnd"/>
      <w:r w:rsidRPr="00543FEA">
        <w:rPr>
          <w:rFonts w:cs="Times New Roman"/>
          <w:i/>
          <w:sz w:val="20"/>
          <w:lang w:val="en-ZA"/>
        </w:rPr>
        <w:t xml:space="preserve"> Studies/Theological Studies</w:t>
      </w:r>
      <w:r w:rsidRPr="00543FEA">
        <w:rPr>
          <w:rFonts w:cs="Times New Roman"/>
          <w:sz w:val="20"/>
          <w:lang w:val="en-ZA"/>
        </w:rPr>
        <w:t xml:space="preserve"> 68, no</w:t>
      </w:r>
      <w:r>
        <w:rPr>
          <w:rFonts w:cs="Times New Roman"/>
          <w:sz w:val="20"/>
          <w:lang w:val="en-ZA"/>
        </w:rPr>
        <w:t>.</w:t>
      </w:r>
      <w:r w:rsidRPr="00543FEA">
        <w:rPr>
          <w:rFonts w:cs="Times New Roman"/>
          <w:sz w:val="20"/>
          <w:lang w:val="en-ZA"/>
        </w:rPr>
        <w:t xml:space="preserve"> 1 </w:t>
      </w:r>
      <w:r w:rsidRPr="00543FEA">
        <w:rPr>
          <w:rFonts w:cs="Times New Roman"/>
          <w:sz w:val="20"/>
        </w:rPr>
        <w:t xml:space="preserve">(July </w:t>
      </w:r>
      <w:r w:rsidRPr="00543FEA">
        <w:rPr>
          <w:rFonts w:cs="Times New Roman"/>
          <w:color w:val="auto"/>
          <w:sz w:val="20"/>
        </w:rPr>
        <w:t>2012): 1-8</w:t>
      </w:r>
      <w:r>
        <w:rPr>
          <w:rFonts w:cs="Times New Roman"/>
          <w:color w:val="auto"/>
          <w:sz w:val="20"/>
        </w:rPr>
        <w:t>,</w:t>
      </w:r>
      <w:r w:rsidRPr="00543FEA">
        <w:rPr>
          <w:rFonts w:cs="Times New Roman"/>
          <w:color w:val="auto"/>
          <w:sz w:val="20"/>
        </w:rPr>
        <w:t xml:space="preserve"> </w:t>
      </w:r>
      <w:r w:rsidRPr="00543FEA">
        <w:rPr>
          <w:rFonts w:cs="Times New Roman"/>
          <w:sz w:val="20"/>
        </w:rPr>
        <w:t xml:space="preserve">http://dx.doi.org/10.4102/hts.v68i1.1059; see </w:t>
      </w:r>
      <w:r w:rsidRPr="00543FEA">
        <w:rPr>
          <w:rFonts w:cs="Times New Roman"/>
          <w:sz w:val="20"/>
          <w:lang w:val="en-ZA"/>
        </w:rPr>
        <w:t xml:space="preserve">David W. </w:t>
      </w:r>
      <w:proofErr w:type="spellStart"/>
      <w:r w:rsidRPr="00543FEA">
        <w:rPr>
          <w:rFonts w:cs="Times New Roman"/>
          <w:sz w:val="20"/>
          <w:lang w:val="en-ZA"/>
        </w:rPr>
        <w:t>Pao</w:t>
      </w:r>
      <w:proofErr w:type="spellEnd"/>
      <w:r w:rsidRPr="00543FEA">
        <w:rPr>
          <w:rFonts w:cs="Times New Roman"/>
          <w:sz w:val="20"/>
          <w:lang w:val="en-ZA"/>
        </w:rPr>
        <w:t xml:space="preserve">, “Waiters or Preachers: Acts 6:1-7 and the Lukan Table Fellowship Motif,” </w:t>
      </w:r>
      <w:r w:rsidRPr="00543FEA">
        <w:rPr>
          <w:rFonts w:cs="Times New Roman"/>
          <w:i/>
          <w:iCs/>
          <w:sz w:val="20"/>
          <w:lang w:val="en-ZA"/>
        </w:rPr>
        <w:t>Journal of Biblical Literature</w:t>
      </w:r>
      <w:r w:rsidRPr="00543FEA">
        <w:rPr>
          <w:rFonts w:cs="Times New Roman"/>
          <w:sz w:val="20"/>
          <w:lang w:val="en-ZA"/>
        </w:rPr>
        <w:t xml:space="preserve"> 130, no</w:t>
      </w:r>
      <w:r>
        <w:rPr>
          <w:rFonts w:cs="Times New Roman"/>
          <w:sz w:val="20"/>
          <w:lang w:val="en-ZA"/>
        </w:rPr>
        <w:t>.</w:t>
      </w:r>
      <w:r w:rsidRPr="00543FEA">
        <w:rPr>
          <w:rFonts w:cs="Times New Roman"/>
          <w:sz w:val="20"/>
          <w:lang w:val="en-ZA"/>
        </w:rPr>
        <w:t xml:space="preserve"> 1 (Spring 2011): </w:t>
      </w:r>
      <w:r w:rsidRPr="00543FEA">
        <w:rPr>
          <w:rFonts w:cs="Times New Roman"/>
          <w:sz w:val="20"/>
        </w:rPr>
        <w:t>129.</w:t>
      </w:r>
    </w:p>
  </w:footnote>
  <w:footnote w:id="2">
    <w:p w14:paraId="4F6EFA20" w14:textId="7B98CC1E" w:rsidR="009C2066" w:rsidRPr="00D877FE" w:rsidRDefault="009C2066" w:rsidP="009B5277">
      <w:pPr>
        <w:pStyle w:val="FootnoteText"/>
        <w:spacing w:line="360" w:lineRule="auto"/>
        <w:rPr>
          <w:rFonts w:cs="Times New Roman"/>
        </w:rPr>
      </w:pPr>
      <w:r w:rsidRPr="00D877FE">
        <w:rPr>
          <w:rStyle w:val="FootnoteReference"/>
          <w:rFonts w:cs="Times New Roman"/>
        </w:rPr>
        <w:footnoteRef/>
      </w:r>
      <w:r w:rsidRPr="00D877FE">
        <w:rPr>
          <w:rFonts w:cs="Times New Roman"/>
        </w:rPr>
        <w:t xml:space="preserve"> Kari </w:t>
      </w:r>
      <w:proofErr w:type="spellStart"/>
      <w:r w:rsidRPr="00D877FE">
        <w:rPr>
          <w:rFonts w:cs="Times New Roman"/>
        </w:rPr>
        <w:t>Latvus</w:t>
      </w:r>
      <w:proofErr w:type="spellEnd"/>
      <w:r w:rsidRPr="00D877FE">
        <w:rPr>
          <w:rFonts w:cs="Times New Roman"/>
        </w:rPr>
        <w:t>, “The Paradigm Challenged</w:t>
      </w:r>
      <w:r>
        <w:rPr>
          <w:rFonts w:cs="Times New Roman"/>
        </w:rPr>
        <w:t>:</w:t>
      </w:r>
      <w:r w:rsidRPr="00D877FE">
        <w:rPr>
          <w:rFonts w:cs="Times New Roman"/>
        </w:rPr>
        <w:t xml:space="preserve"> A New Analysis of the Origin of </w:t>
      </w:r>
      <w:proofErr w:type="spellStart"/>
      <w:r w:rsidRPr="00D877FE">
        <w:rPr>
          <w:rFonts w:cs="Times New Roman"/>
        </w:rPr>
        <w:t>Diakonia</w:t>
      </w:r>
      <w:proofErr w:type="spellEnd"/>
      <w:r w:rsidRPr="00D877FE">
        <w:rPr>
          <w:rFonts w:cs="Times New Roman"/>
        </w:rPr>
        <w:t xml:space="preserve">”, </w:t>
      </w:r>
      <w:proofErr w:type="spellStart"/>
      <w:r w:rsidRPr="007C0540">
        <w:rPr>
          <w:rFonts w:cs="Times New Roman"/>
          <w:i/>
          <w:iCs/>
        </w:rPr>
        <w:t>Studia</w:t>
      </w:r>
      <w:proofErr w:type="spellEnd"/>
      <w:r w:rsidRPr="007C0540">
        <w:rPr>
          <w:rFonts w:cs="Times New Roman"/>
          <w:i/>
          <w:iCs/>
        </w:rPr>
        <w:t xml:space="preserve"> </w:t>
      </w:r>
      <w:proofErr w:type="spellStart"/>
      <w:r w:rsidRPr="007C0540">
        <w:rPr>
          <w:rFonts w:cs="Times New Roman"/>
          <w:i/>
          <w:iCs/>
        </w:rPr>
        <w:t>Theologica</w:t>
      </w:r>
      <w:proofErr w:type="spellEnd"/>
      <w:r w:rsidRPr="00D877FE">
        <w:rPr>
          <w:rFonts w:cs="Times New Roman"/>
        </w:rPr>
        <w:t xml:space="preserve"> 62 (2008)</w:t>
      </w:r>
      <w:r>
        <w:rPr>
          <w:rFonts w:cs="Times New Roman"/>
        </w:rPr>
        <w:t>:</w:t>
      </w:r>
      <w:r w:rsidRPr="00D877FE">
        <w:rPr>
          <w:rFonts w:cs="Times New Roman"/>
        </w:rPr>
        <w:t xml:space="preserve"> 152.</w:t>
      </w:r>
    </w:p>
  </w:footnote>
  <w:footnote w:id="3">
    <w:p w14:paraId="52A94D44" w14:textId="2FDB940F" w:rsidR="009C2066" w:rsidRPr="00543FEA" w:rsidRDefault="009C2066" w:rsidP="004964DE">
      <w:pPr>
        <w:pStyle w:val="JTTEndnote"/>
        <w:spacing w:line="360" w:lineRule="auto"/>
        <w:rPr>
          <w:rFonts w:cs="Times New Roman"/>
          <w:sz w:val="20"/>
        </w:rPr>
      </w:pPr>
      <w:r w:rsidRPr="00543FEA">
        <w:rPr>
          <w:rStyle w:val="FootnoteReference"/>
          <w:rFonts w:cs="Times New Roman"/>
          <w:sz w:val="20"/>
        </w:rPr>
        <w:footnoteRef/>
      </w:r>
      <w:r w:rsidRPr="00543FEA">
        <w:rPr>
          <w:rFonts w:cs="Times New Roman"/>
          <w:sz w:val="20"/>
        </w:rPr>
        <w:t xml:space="preserve"> </w:t>
      </w:r>
      <w:proofErr w:type="spellStart"/>
      <w:r w:rsidRPr="00543FEA">
        <w:rPr>
          <w:rFonts w:cs="Times New Roman"/>
          <w:sz w:val="20"/>
        </w:rPr>
        <w:t>Jaap</w:t>
      </w:r>
      <w:proofErr w:type="spellEnd"/>
      <w:r w:rsidRPr="00543FEA">
        <w:rPr>
          <w:rFonts w:cs="Times New Roman"/>
          <w:sz w:val="20"/>
        </w:rPr>
        <w:t xml:space="preserve"> Van </w:t>
      </w:r>
      <w:proofErr w:type="spellStart"/>
      <w:r w:rsidRPr="00543FEA">
        <w:rPr>
          <w:rFonts w:cs="Times New Roman"/>
          <w:sz w:val="20"/>
        </w:rPr>
        <w:t>Klinken</w:t>
      </w:r>
      <w:proofErr w:type="spellEnd"/>
      <w:r w:rsidRPr="00543FEA">
        <w:rPr>
          <w:rFonts w:cs="Times New Roman"/>
          <w:sz w:val="20"/>
        </w:rPr>
        <w:t xml:space="preserve">, </w:t>
      </w:r>
      <w:proofErr w:type="spellStart"/>
      <w:r w:rsidRPr="00543FEA">
        <w:rPr>
          <w:rFonts w:cs="Times New Roman"/>
          <w:i/>
          <w:iCs/>
          <w:sz w:val="20"/>
        </w:rPr>
        <w:t>Diakonia</w:t>
      </w:r>
      <w:proofErr w:type="spellEnd"/>
      <w:r w:rsidRPr="00543FEA">
        <w:rPr>
          <w:rFonts w:cs="Times New Roman"/>
          <w:i/>
          <w:iCs/>
          <w:sz w:val="20"/>
        </w:rPr>
        <w:t>: Mutual Helping with Justice and Compassion</w:t>
      </w:r>
      <w:r w:rsidRPr="00543FEA">
        <w:rPr>
          <w:rFonts w:cs="Times New Roman"/>
          <w:sz w:val="20"/>
        </w:rPr>
        <w:t xml:space="preserve"> (</w:t>
      </w:r>
      <w:proofErr w:type="spellStart"/>
      <w:r w:rsidRPr="00543FEA">
        <w:rPr>
          <w:rFonts w:cs="Times New Roman"/>
          <w:sz w:val="20"/>
        </w:rPr>
        <w:t>Kampen</w:t>
      </w:r>
      <w:proofErr w:type="spellEnd"/>
      <w:r w:rsidRPr="00543FEA">
        <w:rPr>
          <w:rFonts w:cs="Times New Roman"/>
          <w:sz w:val="20"/>
        </w:rPr>
        <w:t xml:space="preserve">: </w:t>
      </w:r>
      <w:proofErr w:type="spellStart"/>
      <w:r w:rsidRPr="00543FEA">
        <w:rPr>
          <w:rFonts w:cs="Times New Roman"/>
          <w:sz w:val="20"/>
        </w:rPr>
        <w:t>Kok</w:t>
      </w:r>
      <w:proofErr w:type="spellEnd"/>
      <w:r w:rsidRPr="00543FEA">
        <w:rPr>
          <w:rFonts w:cs="Times New Roman"/>
          <w:sz w:val="20"/>
        </w:rPr>
        <w:t>, 1989)</w:t>
      </w:r>
      <w:r>
        <w:rPr>
          <w:rFonts w:cs="Times New Roman"/>
          <w:sz w:val="20"/>
        </w:rPr>
        <w:t>,</w:t>
      </w:r>
      <w:r w:rsidRPr="00543FEA">
        <w:rPr>
          <w:rFonts w:cs="Times New Roman"/>
          <w:sz w:val="20"/>
        </w:rPr>
        <w:t xml:space="preserve"> 85, 59.</w:t>
      </w:r>
    </w:p>
  </w:footnote>
  <w:footnote w:id="4">
    <w:p w14:paraId="43C90D06" w14:textId="15CBD25A" w:rsidR="009C2066" w:rsidRPr="00543FEA" w:rsidRDefault="009C2066" w:rsidP="004964DE">
      <w:pPr>
        <w:pStyle w:val="JTTEndnote"/>
        <w:spacing w:line="360" w:lineRule="auto"/>
        <w:rPr>
          <w:rFonts w:cs="Times New Roman"/>
          <w:sz w:val="20"/>
        </w:rPr>
      </w:pPr>
      <w:r w:rsidRPr="00543FEA">
        <w:rPr>
          <w:rStyle w:val="FootnoteReference"/>
          <w:rFonts w:cs="Times New Roman"/>
          <w:sz w:val="20"/>
        </w:rPr>
        <w:footnoteRef/>
      </w:r>
      <w:r w:rsidRPr="00543FEA">
        <w:rPr>
          <w:rFonts w:cs="Times New Roman"/>
          <w:sz w:val="20"/>
        </w:rPr>
        <w:t xml:space="preserve"> </w:t>
      </w:r>
      <w:r w:rsidRPr="00543FEA">
        <w:rPr>
          <w:rFonts w:cs="Times New Roman"/>
          <w:sz w:val="20"/>
          <w:lang w:val="en-ZA"/>
        </w:rPr>
        <w:t xml:space="preserve">John N. Collins, </w:t>
      </w:r>
      <w:r w:rsidRPr="00543FEA">
        <w:rPr>
          <w:rStyle w:val="italic"/>
          <w:rFonts w:eastAsiaTheme="majorEastAsia" w:cs="Times New Roman"/>
          <w:i/>
          <w:iCs/>
          <w:sz w:val="20"/>
          <w:bdr w:val="none" w:sz="0" w:space="0" w:color="auto" w:frame="1"/>
          <w:lang w:val="en-ZA"/>
        </w:rPr>
        <w:t>Deacons and the Church: Making Connections Between Old and New</w:t>
      </w:r>
      <w:r w:rsidRPr="00543FEA">
        <w:rPr>
          <w:rFonts w:cs="Times New Roman"/>
          <w:sz w:val="20"/>
          <w:lang w:val="en-ZA"/>
        </w:rPr>
        <w:t xml:space="preserve"> (Harrisburg: </w:t>
      </w:r>
      <w:proofErr w:type="spellStart"/>
      <w:r w:rsidRPr="00543FEA">
        <w:rPr>
          <w:rFonts w:cs="Times New Roman"/>
          <w:sz w:val="20"/>
          <w:lang w:val="en-ZA"/>
        </w:rPr>
        <w:t>Gracewing</w:t>
      </w:r>
      <w:proofErr w:type="spellEnd"/>
      <w:r w:rsidRPr="00543FEA">
        <w:rPr>
          <w:rFonts w:cs="Times New Roman"/>
          <w:sz w:val="20"/>
          <w:lang w:val="en-ZA"/>
        </w:rPr>
        <w:t>, 2002)</w:t>
      </w:r>
      <w:r>
        <w:rPr>
          <w:rFonts w:cs="Times New Roman"/>
          <w:sz w:val="20"/>
          <w:lang w:val="en-ZA"/>
        </w:rPr>
        <w:t>,</w:t>
      </w:r>
      <w:r w:rsidRPr="00543FEA">
        <w:rPr>
          <w:rFonts w:cs="Times New Roman"/>
          <w:sz w:val="20"/>
          <w:lang w:val="en-ZA"/>
        </w:rPr>
        <w:t xml:space="preserve"> 6.</w:t>
      </w:r>
    </w:p>
  </w:footnote>
  <w:footnote w:id="5">
    <w:p w14:paraId="3880E17F" w14:textId="1D5289F1" w:rsidR="009C2066" w:rsidRPr="004C1136" w:rsidRDefault="009C2066" w:rsidP="009B5277">
      <w:pPr>
        <w:pStyle w:val="JTTEndnote"/>
        <w:spacing w:line="360" w:lineRule="auto"/>
        <w:rPr>
          <w:sz w:val="20"/>
        </w:rPr>
      </w:pPr>
      <w:r w:rsidRPr="004C1136">
        <w:rPr>
          <w:rStyle w:val="FootnoteReference"/>
          <w:sz w:val="20"/>
        </w:rPr>
        <w:footnoteRef/>
      </w:r>
      <w:r w:rsidRPr="004C1136">
        <w:rPr>
          <w:sz w:val="20"/>
        </w:rPr>
        <w:t xml:space="preserve"> For a thorough discussion of the history of the diaconal service, see </w:t>
      </w:r>
      <w:r w:rsidRPr="004C1136">
        <w:rPr>
          <w:sz w:val="20"/>
          <w:lang w:val="en-ZA"/>
        </w:rPr>
        <w:t xml:space="preserve">Elsie Anne McKee, </w:t>
      </w:r>
      <w:proofErr w:type="spellStart"/>
      <w:r w:rsidRPr="004C1136">
        <w:rPr>
          <w:i/>
          <w:iCs/>
          <w:sz w:val="20"/>
          <w:lang w:val="en-ZA"/>
        </w:rPr>
        <w:t>Diakonia</w:t>
      </w:r>
      <w:proofErr w:type="spellEnd"/>
      <w:r w:rsidRPr="004C1136">
        <w:rPr>
          <w:i/>
          <w:iCs/>
          <w:sz w:val="20"/>
          <w:lang w:val="en-ZA"/>
        </w:rPr>
        <w:t xml:space="preserve"> in the Classical Reformed Tradition and Today</w:t>
      </w:r>
      <w:r w:rsidRPr="004C1136">
        <w:rPr>
          <w:sz w:val="20"/>
          <w:lang w:val="en-ZA"/>
        </w:rPr>
        <w:t xml:space="preserve"> (Grand Rapids: Eerdmans, 1989); </w:t>
      </w:r>
      <w:r w:rsidRPr="004C1136">
        <w:rPr>
          <w:sz w:val="20"/>
        </w:rPr>
        <w:t xml:space="preserve">Van </w:t>
      </w:r>
      <w:proofErr w:type="spellStart"/>
      <w:r w:rsidRPr="004C1136">
        <w:rPr>
          <w:sz w:val="20"/>
        </w:rPr>
        <w:t>Klinken</w:t>
      </w:r>
      <w:proofErr w:type="spellEnd"/>
      <w:r w:rsidRPr="004C1136">
        <w:rPr>
          <w:sz w:val="20"/>
        </w:rPr>
        <w:t xml:space="preserve">, </w:t>
      </w:r>
      <w:proofErr w:type="spellStart"/>
      <w:r w:rsidRPr="004C1136">
        <w:rPr>
          <w:i/>
          <w:iCs/>
          <w:sz w:val="20"/>
        </w:rPr>
        <w:t>Diakonia</w:t>
      </w:r>
      <w:proofErr w:type="spellEnd"/>
      <w:r w:rsidRPr="004C1136">
        <w:rPr>
          <w:sz w:val="20"/>
        </w:rPr>
        <w:t xml:space="preserve">, </w:t>
      </w:r>
      <w:r w:rsidRPr="004C1136">
        <w:rPr>
          <w:color w:val="auto"/>
          <w:sz w:val="20"/>
        </w:rPr>
        <w:t>60–78</w:t>
      </w:r>
      <w:r w:rsidRPr="004C1136">
        <w:rPr>
          <w:sz w:val="20"/>
        </w:rPr>
        <w:t>; Ronnie Aitchison,</w:t>
      </w:r>
      <w:r w:rsidRPr="004C1136">
        <w:rPr>
          <w:i/>
          <w:sz w:val="20"/>
        </w:rPr>
        <w:t xml:space="preserve"> The Ministry of a Deacon</w:t>
      </w:r>
      <w:r w:rsidRPr="004C1136">
        <w:rPr>
          <w:sz w:val="20"/>
        </w:rPr>
        <w:t xml:space="preserve"> (Werrington, Peterborough: Epworth, 2003)</w:t>
      </w:r>
      <w:r>
        <w:rPr>
          <w:sz w:val="20"/>
        </w:rPr>
        <w:t>.</w:t>
      </w:r>
      <w:r w:rsidRPr="004C1136">
        <w:rPr>
          <w:sz w:val="20"/>
        </w:rPr>
        <w:t xml:space="preserve"> 83–105; Hub </w:t>
      </w:r>
      <w:proofErr w:type="spellStart"/>
      <w:r w:rsidRPr="004C1136">
        <w:rPr>
          <w:sz w:val="20"/>
        </w:rPr>
        <w:t>Crijns</w:t>
      </w:r>
      <w:proofErr w:type="spellEnd"/>
      <w:r w:rsidRPr="004C1136">
        <w:rPr>
          <w:sz w:val="20"/>
        </w:rPr>
        <w:t xml:space="preserve"> </w:t>
      </w:r>
      <w:r w:rsidRPr="004C1136">
        <w:rPr>
          <w:i/>
          <w:iCs/>
          <w:sz w:val="20"/>
        </w:rPr>
        <w:t>et al.,</w:t>
      </w:r>
      <w:r w:rsidRPr="004C1136">
        <w:rPr>
          <w:sz w:val="20"/>
        </w:rPr>
        <w:t xml:space="preserve"> reds., </w:t>
      </w:r>
      <w:proofErr w:type="spellStart"/>
      <w:r w:rsidRPr="004C1136">
        <w:rPr>
          <w:i/>
          <w:iCs/>
          <w:sz w:val="20"/>
        </w:rPr>
        <w:t>Diaconie</w:t>
      </w:r>
      <w:proofErr w:type="spellEnd"/>
      <w:r w:rsidRPr="004C1136">
        <w:rPr>
          <w:i/>
          <w:iCs/>
          <w:sz w:val="20"/>
        </w:rPr>
        <w:t xml:space="preserve"> in </w:t>
      </w:r>
      <w:proofErr w:type="spellStart"/>
      <w:r w:rsidRPr="004C1136">
        <w:rPr>
          <w:i/>
          <w:iCs/>
          <w:sz w:val="20"/>
        </w:rPr>
        <w:t>Beweging</w:t>
      </w:r>
      <w:proofErr w:type="spellEnd"/>
      <w:r w:rsidRPr="004C1136">
        <w:rPr>
          <w:i/>
          <w:iCs/>
          <w:sz w:val="20"/>
        </w:rPr>
        <w:t xml:space="preserve">: </w:t>
      </w:r>
      <w:proofErr w:type="spellStart"/>
      <w:r w:rsidRPr="004C1136">
        <w:rPr>
          <w:i/>
          <w:iCs/>
          <w:sz w:val="20"/>
        </w:rPr>
        <w:t>Handboek</w:t>
      </w:r>
      <w:proofErr w:type="spellEnd"/>
      <w:r w:rsidRPr="004C1136">
        <w:rPr>
          <w:i/>
          <w:iCs/>
          <w:sz w:val="20"/>
        </w:rPr>
        <w:t xml:space="preserve"> </w:t>
      </w:r>
      <w:proofErr w:type="spellStart"/>
      <w:r w:rsidRPr="004C1136">
        <w:rPr>
          <w:i/>
          <w:iCs/>
          <w:sz w:val="20"/>
        </w:rPr>
        <w:t>Diaconiewetenschap</w:t>
      </w:r>
      <w:proofErr w:type="spellEnd"/>
      <w:r w:rsidRPr="004C1136">
        <w:rPr>
          <w:sz w:val="20"/>
        </w:rPr>
        <w:t xml:space="preserve"> (</w:t>
      </w:r>
      <w:proofErr w:type="spellStart"/>
      <w:r w:rsidRPr="004C1136">
        <w:rPr>
          <w:sz w:val="20"/>
        </w:rPr>
        <w:t>Kampen</w:t>
      </w:r>
      <w:proofErr w:type="spellEnd"/>
      <w:r w:rsidRPr="004C1136">
        <w:rPr>
          <w:sz w:val="20"/>
        </w:rPr>
        <w:t xml:space="preserve">: </w:t>
      </w:r>
      <w:proofErr w:type="spellStart"/>
      <w:r w:rsidRPr="004C1136">
        <w:rPr>
          <w:sz w:val="20"/>
        </w:rPr>
        <w:t>Kok</w:t>
      </w:r>
      <w:proofErr w:type="spellEnd"/>
      <w:r w:rsidRPr="004C1136">
        <w:rPr>
          <w:sz w:val="20"/>
        </w:rPr>
        <w:t>, 2011)</w:t>
      </w:r>
      <w:r>
        <w:rPr>
          <w:sz w:val="20"/>
        </w:rPr>
        <w:t>,</w:t>
      </w:r>
      <w:r w:rsidRPr="004C1136">
        <w:rPr>
          <w:sz w:val="20"/>
        </w:rPr>
        <w:t xml:space="preserve"> 61–108; and </w:t>
      </w:r>
      <w:r w:rsidRPr="004C1136">
        <w:rPr>
          <w:rStyle w:val="a-size-medium"/>
          <w:rFonts w:eastAsiaTheme="majorEastAsia"/>
          <w:sz w:val="20"/>
          <w:lang w:val="en-ZA"/>
        </w:rPr>
        <w:t>Jeannine E. Olson</w:t>
      </w:r>
      <w:r w:rsidRPr="004C1136">
        <w:rPr>
          <w:sz w:val="20"/>
          <w:lang w:val="en-ZA"/>
        </w:rPr>
        <w:t xml:space="preserve">, </w:t>
      </w:r>
      <w:r w:rsidRPr="004C1136">
        <w:rPr>
          <w:i/>
          <w:sz w:val="20"/>
          <w:lang w:val="en-ZA"/>
        </w:rPr>
        <w:t>Deacons and Deaconesses Through the Centuries</w:t>
      </w:r>
      <w:r w:rsidRPr="004C1136">
        <w:rPr>
          <w:sz w:val="20"/>
          <w:lang w:val="en-ZA"/>
        </w:rPr>
        <w:t xml:space="preserve"> (Saint Louis: Concordia, 2005).</w:t>
      </w:r>
    </w:p>
  </w:footnote>
  <w:footnote w:id="6">
    <w:p w14:paraId="7D37C2DD" w14:textId="16497CA5" w:rsidR="009C2066" w:rsidRPr="00543FEA" w:rsidRDefault="009C2066" w:rsidP="00777A1F">
      <w:pPr>
        <w:pStyle w:val="JTTEndnote"/>
        <w:spacing w:line="360" w:lineRule="auto"/>
        <w:rPr>
          <w:sz w:val="20"/>
        </w:rPr>
      </w:pPr>
      <w:r w:rsidRPr="009B5277">
        <w:rPr>
          <w:rStyle w:val="FootnoteReference"/>
          <w:sz w:val="20"/>
        </w:rPr>
        <w:footnoteRef/>
      </w:r>
      <w:r w:rsidRPr="009B5277">
        <w:rPr>
          <w:sz w:val="20"/>
        </w:rPr>
        <w:t xml:space="preserve"> Paul Avis, "Wrestling with the Diaconate," </w:t>
      </w:r>
      <w:r w:rsidRPr="009B5277">
        <w:rPr>
          <w:i/>
          <w:sz w:val="20"/>
        </w:rPr>
        <w:t>Ecclesiology</w:t>
      </w:r>
      <w:r w:rsidRPr="009B5277">
        <w:rPr>
          <w:sz w:val="20"/>
        </w:rPr>
        <w:t xml:space="preserve"> 5, no. 1 (</w:t>
      </w:r>
      <w:r w:rsidRPr="009B5277">
        <w:rPr>
          <w:color w:val="auto"/>
          <w:sz w:val="20"/>
        </w:rPr>
        <w:t>2009)</w:t>
      </w:r>
      <w:r>
        <w:rPr>
          <w:color w:val="auto"/>
          <w:sz w:val="20"/>
        </w:rPr>
        <w:t>,</w:t>
      </w:r>
      <w:r w:rsidRPr="00543FEA">
        <w:rPr>
          <w:color w:val="auto"/>
          <w:sz w:val="20"/>
        </w:rPr>
        <w:t xml:space="preserve"> </w:t>
      </w:r>
      <w:r w:rsidRPr="00543FEA">
        <w:rPr>
          <w:sz w:val="20"/>
        </w:rPr>
        <w:t>https:doi.org</w:t>
      </w:r>
      <w:r w:rsidRPr="00543FEA">
        <w:rPr>
          <w:rFonts w:asciiTheme="majorBidi" w:hAnsiTheme="majorBidi" w:cstheme="majorBidi"/>
          <w:sz w:val="20"/>
        </w:rPr>
        <w:t>/10.1163/174553108X378459.</w:t>
      </w:r>
    </w:p>
  </w:footnote>
  <w:footnote w:id="7">
    <w:p w14:paraId="5F3B9CAF" w14:textId="0282A072" w:rsidR="009C2066" w:rsidRPr="00543FEA" w:rsidRDefault="009C2066" w:rsidP="009B5277">
      <w:pPr>
        <w:pStyle w:val="JTTEndnote"/>
        <w:spacing w:line="360" w:lineRule="auto"/>
        <w:rPr>
          <w:sz w:val="20"/>
        </w:rPr>
      </w:pPr>
      <w:r w:rsidRPr="00543FEA">
        <w:rPr>
          <w:rStyle w:val="FootnoteReference"/>
          <w:sz w:val="20"/>
        </w:rPr>
        <w:footnoteRef/>
      </w:r>
      <w:r w:rsidRPr="00543FEA">
        <w:rPr>
          <w:sz w:val="20"/>
        </w:rPr>
        <w:t xml:space="preserve"> Jennifer Shack, "A Comparison between the Diaconates of Lutheran Church: Canada and the New Testament</w:t>
      </w:r>
      <w:r>
        <w:rPr>
          <w:sz w:val="20"/>
        </w:rPr>
        <w:t>,</w:t>
      </w:r>
      <w:r w:rsidRPr="00543FEA">
        <w:rPr>
          <w:sz w:val="20"/>
        </w:rPr>
        <w:t>" (MA diss., Concordia University College of Alberta, 2011)</w:t>
      </w:r>
      <w:r>
        <w:rPr>
          <w:sz w:val="20"/>
        </w:rPr>
        <w:t xml:space="preserve">, </w:t>
      </w:r>
      <w:r w:rsidRPr="00543FEA">
        <w:rPr>
          <w:sz w:val="20"/>
        </w:rPr>
        <w:t>51.</w:t>
      </w:r>
    </w:p>
  </w:footnote>
  <w:footnote w:id="8">
    <w:p w14:paraId="64CAB9F5" w14:textId="29A0FCFC" w:rsidR="009C2066" w:rsidRPr="00543FEA" w:rsidRDefault="009C2066" w:rsidP="009B5277">
      <w:pPr>
        <w:pStyle w:val="JTTEndnote"/>
        <w:spacing w:line="360" w:lineRule="auto"/>
        <w:rPr>
          <w:sz w:val="20"/>
        </w:rPr>
      </w:pPr>
      <w:r w:rsidRPr="00543FEA">
        <w:rPr>
          <w:rStyle w:val="FootnoteReference"/>
          <w:sz w:val="20"/>
        </w:rPr>
        <w:footnoteRef/>
      </w:r>
      <w:r w:rsidRPr="00543FEA">
        <w:rPr>
          <w:sz w:val="20"/>
        </w:rPr>
        <w:t xml:space="preserve"> </w:t>
      </w:r>
      <w:r w:rsidRPr="00543FEA">
        <w:rPr>
          <w:rFonts w:cs="Times New Roman"/>
          <w:sz w:val="20"/>
        </w:rPr>
        <w:t>Avis, "Wrestling with the Diaconate," 4, 5.</w:t>
      </w:r>
    </w:p>
  </w:footnote>
  <w:footnote w:id="9">
    <w:p w14:paraId="70E099C3" w14:textId="77777777" w:rsidR="009C2066" w:rsidRPr="00543FEA" w:rsidRDefault="009C2066" w:rsidP="00777A1F">
      <w:pPr>
        <w:pStyle w:val="JTTEndnote"/>
        <w:spacing w:line="360" w:lineRule="auto"/>
        <w:rPr>
          <w:sz w:val="20"/>
        </w:rPr>
      </w:pPr>
      <w:r w:rsidRPr="00543FEA">
        <w:rPr>
          <w:rStyle w:val="FootnoteReference"/>
          <w:sz w:val="20"/>
        </w:rPr>
        <w:footnoteRef/>
      </w:r>
      <w:r w:rsidRPr="00543FEA">
        <w:rPr>
          <w:sz w:val="20"/>
        </w:rPr>
        <w:t xml:space="preserve"> Shack, "A Comparison Between the Diaconates,” 1</w:t>
      </w:r>
      <w:r w:rsidRPr="00543FEA">
        <w:rPr>
          <w:sz w:val="20"/>
        </w:rPr>
        <w:sym w:font="Symbol" w:char="F02D"/>
      </w:r>
      <w:r w:rsidRPr="00543FEA">
        <w:rPr>
          <w:sz w:val="20"/>
        </w:rPr>
        <w:t>100</w:t>
      </w:r>
      <w:r w:rsidRPr="00543FEA">
        <w:rPr>
          <w:color w:val="00B050"/>
          <w:sz w:val="20"/>
        </w:rPr>
        <w:t>.</w:t>
      </w:r>
    </w:p>
  </w:footnote>
  <w:footnote w:id="10">
    <w:p w14:paraId="65346CA9" w14:textId="6851EA3D" w:rsidR="009C2066" w:rsidRPr="00543FEA" w:rsidRDefault="009C2066" w:rsidP="009B5277">
      <w:pPr>
        <w:pStyle w:val="JTTEndnote"/>
        <w:spacing w:line="360" w:lineRule="auto"/>
        <w:rPr>
          <w:sz w:val="20"/>
        </w:rPr>
      </w:pPr>
      <w:r w:rsidRPr="00543FEA">
        <w:rPr>
          <w:rStyle w:val="FootnoteReference"/>
          <w:sz w:val="20"/>
        </w:rPr>
        <w:footnoteRef/>
      </w:r>
      <w:r w:rsidRPr="00543FEA">
        <w:rPr>
          <w:sz w:val="20"/>
        </w:rPr>
        <w:t xml:space="preserve"> Johannes P. </w:t>
      </w:r>
      <w:proofErr w:type="spellStart"/>
      <w:r w:rsidRPr="00543FEA">
        <w:rPr>
          <w:sz w:val="20"/>
        </w:rPr>
        <w:t>Louw</w:t>
      </w:r>
      <w:proofErr w:type="spellEnd"/>
      <w:r w:rsidRPr="00543FEA">
        <w:rPr>
          <w:sz w:val="20"/>
        </w:rPr>
        <w:t xml:space="preserve"> and Eugene Albert </w:t>
      </w:r>
      <w:proofErr w:type="spellStart"/>
      <w:r w:rsidRPr="00543FEA">
        <w:rPr>
          <w:sz w:val="20"/>
        </w:rPr>
        <w:t>Nida</w:t>
      </w:r>
      <w:proofErr w:type="spellEnd"/>
      <w:r w:rsidRPr="00543FEA">
        <w:rPr>
          <w:sz w:val="20"/>
        </w:rPr>
        <w:t xml:space="preserve">, </w:t>
      </w:r>
      <w:r w:rsidRPr="00543FEA">
        <w:rPr>
          <w:i/>
          <w:iCs/>
          <w:sz w:val="20"/>
        </w:rPr>
        <w:t>Greek-English Lexicon of the New Testament: Based on Semantic Domains</w:t>
      </w:r>
      <w:r w:rsidRPr="00543FEA">
        <w:rPr>
          <w:sz w:val="20"/>
        </w:rPr>
        <w:t>, electronic ed. of the 2nd ed. (New York: United Bible Societies, 1996)</w:t>
      </w:r>
      <w:r>
        <w:rPr>
          <w:sz w:val="20"/>
        </w:rPr>
        <w:t>,</w:t>
      </w:r>
      <w:r w:rsidRPr="00543FEA">
        <w:rPr>
          <w:sz w:val="20"/>
        </w:rPr>
        <w:t xml:space="preserve"> vi–xx. </w:t>
      </w:r>
    </w:p>
  </w:footnote>
  <w:footnote w:id="11">
    <w:p w14:paraId="6264AEC4" w14:textId="3999A032" w:rsidR="009C2066" w:rsidRPr="00543FEA" w:rsidRDefault="009C2066" w:rsidP="00543FEA">
      <w:pPr>
        <w:pStyle w:val="JTTEndnote"/>
        <w:spacing w:line="360" w:lineRule="auto"/>
        <w:rPr>
          <w:sz w:val="20"/>
        </w:rPr>
      </w:pPr>
      <w:r w:rsidRPr="00543FEA">
        <w:rPr>
          <w:rStyle w:val="FootnoteReference"/>
          <w:sz w:val="20"/>
        </w:rPr>
        <w:footnoteRef/>
      </w:r>
      <w:r w:rsidRPr="00543FEA">
        <w:rPr>
          <w:sz w:val="20"/>
        </w:rPr>
        <w:t xml:space="preserve"> Ernest Dewitt Burton, "The Study of New Testament Words," </w:t>
      </w:r>
      <w:r w:rsidRPr="00543FEA">
        <w:rPr>
          <w:i/>
          <w:sz w:val="20"/>
        </w:rPr>
        <w:t>The Old and New Testament Student</w:t>
      </w:r>
      <w:r w:rsidRPr="00543FEA">
        <w:rPr>
          <w:sz w:val="20"/>
        </w:rPr>
        <w:t xml:space="preserve"> 12, no. 3 (March 1891): </w:t>
      </w:r>
      <w:r w:rsidRPr="00543FEA">
        <w:rPr>
          <w:color w:val="auto"/>
          <w:sz w:val="20"/>
        </w:rPr>
        <w:t>135</w:t>
      </w:r>
      <w:r w:rsidRPr="00543FEA">
        <w:rPr>
          <w:sz w:val="20"/>
        </w:rPr>
        <w:t>, http://www.jstor.org/stable/3157789.</w:t>
      </w:r>
    </w:p>
  </w:footnote>
  <w:footnote w:id="12">
    <w:p w14:paraId="368ECD91" w14:textId="6A3C6A1F" w:rsidR="009C2066" w:rsidRPr="009B5277" w:rsidRDefault="009C2066" w:rsidP="0018466B">
      <w:pPr>
        <w:pStyle w:val="JTTEndnote"/>
        <w:spacing w:line="360" w:lineRule="auto"/>
        <w:rPr>
          <w:sz w:val="20"/>
        </w:rPr>
      </w:pPr>
      <w:r w:rsidRPr="00543FEA">
        <w:rPr>
          <w:rStyle w:val="FootnoteReference"/>
          <w:sz w:val="20"/>
        </w:rPr>
        <w:footnoteRef/>
      </w:r>
      <w:r w:rsidRPr="00543FEA">
        <w:rPr>
          <w:sz w:val="20"/>
        </w:rPr>
        <w:t xml:space="preserve"> </w:t>
      </w:r>
      <w:proofErr w:type="spellStart"/>
      <w:r w:rsidRPr="00543FEA">
        <w:rPr>
          <w:rFonts w:cs="Times New Roman"/>
          <w:sz w:val="20"/>
        </w:rPr>
        <w:t>Louw</w:t>
      </w:r>
      <w:proofErr w:type="spellEnd"/>
      <w:r w:rsidRPr="00543FEA">
        <w:rPr>
          <w:rFonts w:cs="Times New Roman"/>
          <w:sz w:val="20"/>
        </w:rPr>
        <w:t xml:space="preserve"> </w:t>
      </w:r>
      <w:r w:rsidRPr="009B5277">
        <w:rPr>
          <w:rFonts w:cs="Times New Roman"/>
          <w:sz w:val="20"/>
        </w:rPr>
        <w:t xml:space="preserve">and </w:t>
      </w:r>
      <w:proofErr w:type="spellStart"/>
      <w:r w:rsidRPr="009B5277">
        <w:rPr>
          <w:rFonts w:cs="Times New Roman"/>
          <w:sz w:val="20"/>
        </w:rPr>
        <w:t>Nida</w:t>
      </w:r>
      <w:proofErr w:type="spellEnd"/>
      <w:r w:rsidRPr="009B5277">
        <w:rPr>
          <w:rFonts w:cs="Times New Roman"/>
          <w:sz w:val="20"/>
        </w:rPr>
        <w:t>, Greek New Testament, np.</w:t>
      </w:r>
      <w:r w:rsidRPr="009B5277">
        <w:rPr>
          <w:sz w:val="20"/>
        </w:rPr>
        <w:t xml:space="preserve"> </w:t>
      </w:r>
    </w:p>
  </w:footnote>
  <w:footnote w:id="13">
    <w:p w14:paraId="0D8BA850" w14:textId="31BC667B" w:rsidR="009C2066" w:rsidRPr="00543FEA" w:rsidRDefault="009C2066" w:rsidP="00DC207C">
      <w:pPr>
        <w:pStyle w:val="FootnoteText"/>
        <w:spacing w:line="360" w:lineRule="auto"/>
        <w:rPr>
          <w:lang w:val="en-ZA"/>
        </w:rPr>
      </w:pPr>
      <w:r w:rsidRPr="00D877FE">
        <w:rPr>
          <w:rStyle w:val="FootnoteReference"/>
        </w:rPr>
        <w:footnoteRef/>
      </w:r>
      <w:r w:rsidRPr="00543FEA">
        <w:t xml:space="preserve"> </w:t>
      </w:r>
      <w:r w:rsidRPr="00D877FE">
        <w:t>Ibid.</w:t>
      </w:r>
      <w:r w:rsidRPr="00543FEA">
        <w:t xml:space="preserve"> </w:t>
      </w:r>
    </w:p>
  </w:footnote>
  <w:footnote w:id="14">
    <w:p w14:paraId="790B99E4" w14:textId="1E62B5FA" w:rsidR="009C2066" w:rsidRPr="00777A1F" w:rsidRDefault="009C2066" w:rsidP="00777A1F">
      <w:pPr>
        <w:tabs>
          <w:tab w:val="left" w:pos="851"/>
        </w:tabs>
        <w:spacing w:after="100"/>
        <w:rPr>
          <w:rFonts w:eastAsia="Times New Roman" w:cs="Times New Roman"/>
          <w:snapToGrid w:val="0"/>
          <w:color w:val="auto"/>
          <w:sz w:val="20"/>
          <w:szCs w:val="20"/>
          <w:lang w:val="en-ZA" w:eastAsia="en-US"/>
        </w:rPr>
      </w:pPr>
      <w:r w:rsidRPr="00543FEA">
        <w:rPr>
          <w:rStyle w:val="FootnoteReference"/>
          <w:sz w:val="20"/>
          <w:szCs w:val="20"/>
        </w:rPr>
        <w:footnoteRef/>
      </w:r>
      <w:r w:rsidRPr="00543FEA">
        <w:rPr>
          <w:sz w:val="20"/>
          <w:szCs w:val="20"/>
        </w:rPr>
        <w:t xml:space="preserve"> Gert Breed, “</w:t>
      </w:r>
      <w:proofErr w:type="spellStart"/>
      <w:r w:rsidRPr="00543FEA">
        <w:rPr>
          <w:sz w:val="20"/>
          <w:szCs w:val="20"/>
        </w:rPr>
        <w:t>Diakonia</w:t>
      </w:r>
      <w:proofErr w:type="spellEnd"/>
      <w:r w:rsidRPr="00543FEA">
        <w:rPr>
          <w:sz w:val="20"/>
          <w:szCs w:val="20"/>
        </w:rPr>
        <w:t>: In conversation with John N Collins</w:t>
      </w:r>
      <w:r>
        <w:rPr>
          <w:sz w:val="20"/>
          <w:szCs w:val="20"/>
        </w:rPr>
        <w:t>,</w:t>
      </w:r>
      <w:r w:rsidRPr="00543FEA">
        <w:rPr>
          <w:sz w:val="20"/>
          <w:szCs w:val="20"/>
        </w:rPr>
        <w:t xml:space="preserve">” </w:t>
      </w:r>
      <w:r w:rsidRPr="0018466B">
        <w:rPr>
          <w:rFonts w:eastAsia="Times New Roman" w:cs="Times New Roman"/>
          <w:i/>
          <w:iCs/>
          <w:snapToGrid w:val="0"/>
          <w:color w:val="auto"/>
          <w:sz w:val="20"/>
          <w:szCs w:val="20"/>
          <w:lang w:val="en-ZA" w:eastAsia="en-US"/>
        </w:rPr>
        <w:t>Ecclesiology</w:t>
      </w:r>
      <w:r w:rsidRPr="00543FEA">
        <w:rPr>
          <w:rFonts w:eastAsia="Times New Roman" w:cs="Times New Roman"/>
          <w:snapToGrid w:val="0"/>
          <w:color w:val="auto"/>
          <w:sz w:val="20"/>
          <w:szCs w:val="20"/>
          <w:lang w:val="en-ZA" w:eastAsia="en-US"/>
        </w:rPr>
        <w:t xml:space="preserve"> 13: 349-368 (brill.com/</w:t>
      </w:r>
      <w:proofErr w:type="spellStart"/>
      <w:r w:rsidRPr="00543FEA">
        <w:rPr>
          <w:rFonts w:eastAsia="Times New Roman" w:cs="Times New Roman"/>
          <w:snapToGrid w:val="0"/>
          <w:color w:val="auto"/>
          <w:sz w:val="20"/>
          <w:szCs w:val="20"/>
          <w:lang w:val="en-ZA" w:eastAsia="en-US"/>
        </w:rPr>
        <w:t>ecso</w:t>
      </w:r>
      <w:proofErr w:type="spellEnd"/>
      <w:r w:rsidRPr="00543FEA">
        <w:rPr>
          <w:rFonts w:eastAsia="Times New Roman" w:cs="Times New Roman"/>
          <w:snapToGrid w:val="0"/>
          <w:color w:val="auto"/>
          <w:sz w:val="20"/>
          <w:szCs w:val="20"/>
          <w:lang w:val="en-ZA" w:eastAsia="en-US"/>
        </w:rPr>
        <w:t>)</w:t>
      </w:r>
      <w:r>
        <w:rPr>
          <w:rFonts w:eastAsia="Times New Roman" w:cs="Times New Roman"/>
          <w:snapToGrid w:val="0"/>
          <w:color w:val="auto"/>
          <w:sz w:val="20"/>
          <w:szCs w:val="20"/>
          <w:lang w:val="en-ZA" w:eastAsia="en-US"/>
        </w:rPr>
        <w:t>.</w:t>
      </w:r>
    </w:p>
  </w:footnote>
  <w:footnote w:id="15">
    <w:p w14:paraId="21BD5CE4" w14:textId="495E4944" w:rsidR="009C2066" w:rsidRPr="00D877FE" w:rsidRDefault="009C2066" w:rsidP="00543FEA">
      <w:pPr>
        <w:pStyle w:val="FootnoteText"/>
        <w:spacing w:line="360" w:lineRule="auto"/>
        <w:rPr>
          <w:lang w:val="en-ZA"/>
        </w:rPr>
      </w:pPr>
      <w:r w:rsidRPr="00D877FE">
        <w:rPr>
          <w:rStyle w:val="FootnoteReference"/>
        </w:rPr>
        <w:footnoteRef/>
      </w:r>
      <w:r w:rsidRPr="00D877FE">
        <w:t xml:space="preserve"> </w:t>
      </w:r>
      <w:r w:rsidRPr="00D877FE">
        <w:rPr>
          <w:lang w:val="en-ZA"/>
        </w:rPr>
        <w:t>Both genders are indicated by “his” or “</w:t>
      </w:r>
      <w:r w:rsidRPr="00B6665C">
        <w:rPr>
          <w:lang w:val="en-ZA"/>
        </w:rPr>
        <w:t>he”</w:t>
      </w:r>
      <w:r>
        <w:rPr>
          <w:lang w:val="en-ZA"/>
        </w:rPr>
        <w:t>.</w:t>
      </w:r>
    </w:p>
  </w:footnote>
  <w:footnote w:id="16">
    <w:p w14:paraId="42A5A3E8" w14:textId="64274DE9" w:rsidR="009C2066" w:rsidRPr="00543FEA" w:rsidRDefault="009C2066" w:rsidP="00A704A7">
      <w:pPr>
        <w:pStyle w:val="JTTEndnote"/>
        <w:spacing w:line="360" w:lineRule="auto"/>
        <w:rPr>
          <w:sz w:val="20"/>
        </w:rPr>
      </w:pPr>
      <w:r w:rsidRPr="00543FEA">
        <w:rPr>
          <w:rStyle w:val="FootnoteReference"/>
          <w:sz w:val="20"/>
        </w:rPr>
        <w:footnoteRef/>
      </w:r>
      <w:r w:rsidRPr="00543FEA">
        <w:rPr>
          <w:sz w:val="20"/>
        </w:rPr>
        <w:t xml:space="preserve"> </w:t>
      </w:r>
      <w:r w:rsidRPr="0003537F">
        <w:rPr>
          <w:sz w:val="20"/>
        </w:rPr>
        <w:t xml:space="preserve">Gert Breed, “The </w:t>
      </w:r>
      <w:proofErr w:type="spellStart"/>
      <w:r w:rsidRPr="0003537F">
        <w:rPr>
          <w:sz w:val="20"/>
        </w:rPr>
        <w:t>diakon</w:t>
      </w:r>
      <w:proofErr w:type="spellEnd"/>
      <w:r w:rsidRPr="0003537F">
        <w:rPr>
          <w:sz w:val="20"/>
        </w:rPr>
        <w:t xml:space="preserve">- word Group in the New Testament and Congregational Ministry” </w:t>
      </w:r>
      <w:r>
        <w:rPr>
          <w:sz w:val="20"/>
        </w:rPr>
        <w:t>(</w:t>
      </w:r>
      <w:r w:rsidRPr="0003537F">
        <w:rPr>
          <w:sz w:val="20"/>
        </w:rPr>
        <w:t xml:space="preserve">Thesis, </w:t>
      </w:r>
      <w:proofErr w:type="spellStart"/>
      <w:r w:rsidRPr="0003537F">
        <w:rPr>
          <w:sz w:val="20"/>
        </w:rPr>
        <w:t>Radboud</w:t>
      </w:r>
      <w:proofErr w:type="spellEnd"/>
      <w:r w:rsidRPr="0003537F">
        <w:rPr>
          <w:sz w:val="20"/>
        </w:rPr>
        <w:t xml:space="preserve"> University, Nijmegen</w:t>
      </w:r>
      <w:r>
        <w:rPr>
          <w:sz w:val="20"/>
        </w:rPr>
        <w:t>,</w:t>
      </w:r>
      <w:r w:rsidRPr="0003537F">
        <w:rPr>
          <w:sz w:val="20"/>
        </w:rPr>
        <w:t xml:space="preserve"> 2018); </w:t>
      </w:r>
      <w:r w:rsidRPr="00543FEA">
        <w:rPr>
          <w:sz w:val="20"/>
        </w:rPr>
        <w:t>Breed and Breed, "</w:t>
      </w:r>
      <w:proofErr w:type="spellStart"/>
      <w:r w:rsidRPr="00543FEA">
        <w:rPr>
          <w:sz w:val="20"/>
        </w:rPr>
        <w:t>Besinning</w:t>
      </w:r>
      <w:proofErr w:type="spellEnd"/>
      <w:r w:rsidRPr="00543FEA">
        <w:rPr>
          <w:sz w:val="20"/>
        </w:rPr>
        <w:t xml:space="preserve"> </w:t>
      </w:r>
      <w:proofErr w:type="spellStart"/>
      <w:r w:rsidRPr="00543FEA">
        <w:rPr>
          <w:sz w:val="20"/>
        </w:rPr>
        <w:t>oor</w:t>
      </w:r>
      <w:proofErr w:type="spellEnd"/>
      <w:r w:rsidRPr="00543FEA">
        <w:rPr>
          <w:sz w:val="20"/>
        </w:rPr>
        <w:t xml:space="preserve"> die </w:t>
      </w:r>
      <w:proofErr w:type="spellStart"/>
      <w:r w:rsidRPr="00543FEA">
        <w:rPr>
          <w:sz w:val="20"/>
        </w:rPr>
        <w:t>Diakonale</w:t>
      </w:r>
      <w:proofErr w:type="spellEnd"/>
      <w:r w:rsidRPr="00543FEA">
        <w:rPr>
          <w:sz w:val="20"/>
        </w:rPr>
        <w:t xml:space="preserve"> </w:t>
      </w:r>
      <w:proofErr w:type="spellStart"/>
      <w:r w:rsidRPr="00543FEA">
        <w:rPr>
          <w:sz w:val="20"/>
        </w:rPr>
        <w:t>Dienswerk</w:t>
      </w:r>
      <w:proofErr w:type="spellEnd"/>
      <w:r w:rsidRPr="00543FEA">
        <w:rPr>
          <w:sz w:val="20"/>
        </w:rPr>
        <w:t xml:space="preserve">,” </w:t>
      </w:r>
      <w:r w:rsidRPr="00543FEA">
        <w:rPr>
          <w:color w:val="auto"/>
          <w:sz w:val="20"/>
        </w:rPr>
        <w:t>627–50;</w:t>
      </w:r>
      <w:r w:rsidRPr="00543FEA">
        <w:rPr>
          <w:sz w:val="20"/>
        </w:rPr>
        <w:t xml:space="preserve"> Gert Breed, "</w:t>
      </w:r>
      <w:proofErr w:type="spellStart"/>
      <w:r w:rsidRPr="00543FEA">
        <w:rPr>
          <w:sz w:val="20"/>
        </w:rPr>
        <w:t>Nuut</w:t>
      </w:r>
      <w:proofErr w:type="spellEnd"/>
      <w:r w:rsidRPr="00543FEA">
        <w:rPr>
          <w:sz w:val="20"/>
        </w:rPr>
        <w:t xml:space="preserve"> </w:t>
      </w:r>
      <w:proofErr w:type="spellStart"/>
      <w:r w:rsidRPr="00543FEA">
        <w:rPr>
          <w:sz w:val="20"/>
        </w:rPr>
        <w:t>Gedink</w:t>
      </w:r>
      <w:proofErr w:type="spellEnd"/>
      <w:r w:rsidRPr="00543FEA">
        <w:rPr>
          <w:sz w:val="20"/>
        </w:rPr>
        <w:t xml:space="preserve"> </w:t>
      </w:r>
      <w:proofErr w:type="spellStart"/>
      <w:r w:rsidRPr="00543FEA">
        <w:rPr>
          <w:sz w:val="20"/>
        </w:rPr>
        <w:t>oor</w:t>
      </w:r>
      <w:proofErr w:type="spellEnd"/>
      <w:r w:rsidRPr="00543FEA">
        <w:rPr>
          <w:sz w:val="20"/>
        </w:rPr>
        <w:t xml:space="preserve"> die </w:t>
      </w:r>
      <w:proofErr w:type="spellStart"/>
      <w:r w:rsidRPr="00543FEA">
        <w:rPr>
          <w:sz w:val="20"/>
        </w:rPr>
        <w:t>Wese</w:t>
      </w:r>
      <w:proofErr w:type="spellEnd"/>
      <w:r w:rsidRPr="00543FEA">
        <w:rPr>
          <w:sz w:val="20"/>
        </w:rPr>
        <w:t xml:space="preserve"> </w:t>
      </w:r>
      <w:proofErr w:type="spellStart"/>
      <w:r w:rsidRPr="00543FEA">
        <w:rPr>
          <w:sz w:val="20"/>
        </w:rPr>
        <w:t>en</w:t>
      </w:r>
      <w:proofErr w:type="spellEnd"/>
      <w:r w:rsidRPr="00543FEA">
        <w:rPr>
          <w:sz w:val="20"/>
        </w:rPr>
        <w:t xml:space="preserve"> </w:t>
      </w:r>
      <w:proofErr w:type="spellStart"/>
      <w:r w:rsidRPr="00543FEA">
        <w:rPr>
          <w:sz w:val="20"/>
        </w:rPr>
        <w:t>Inhoud</w:t>
      </w:r>
      <w:proofErr w:type="spellEnd"/>
      <w:r w:rsidRPr="00543FEA">
        <w:rPr>
          <w:sz w:val="20"/>
        </w:rPr>
        <w:t xml:space="preserve"> van die </w:t>
      </w:r>
      <w:proofErr w:type="spellStart"/>
      <w:r w:rsidRPr="00543FEA">
        <w:rPr>
          <w:sz w:val="20"/>
        </w:rPr>
        <w:t>Dienswerk</w:t>
      </w:r>
      <w:proofErr w:type="spellEnd"/>
      <w:r w:rsidRPr="00543FEA">
        <w:rPr>
          <w:sz w:val="20"/>
        </w:rPr>
        <w:t xml:space="preserve"> van die </w:t>
      </w:r>
      <w:proofErr w:type="spellStart"/>
      <w:r w:rsidRPr="00543FEA">
        <w:rPr>
          <w:sz w:val="20"/>
        </w:rPr>
        <w:t>Diaken</w:t>
      </w:r>
      <w:proofErr w:type="spellEnd"/>
      <w:r w:rsidRPr="00543FEA">
        <w:rPr>
          <w:sz w:val="20"/>
        </w:rPr>
        <w:t>,” 1</w:t>
      </w:r>
      <w:r w:rsidRPr="00543FEA">
        <w:rPr>
          <w:sz w:val="20"/>
        </w:rPr>
        <w:sym w:font="Symbol" w:char="F02D"/>
      </w:r>
      <w:r w:rsidRPr="00543FEA">
        <w:rPr>
          <w:sz w:val="20"/>
        </w:rPr>
        <w:t xml:space="preserve">8; Gert Breed, "The </w:t>
      </w:r>
      <w:r w:rsidRPr="00543FEA">
        <w:rPr>
          <w:sz w:val="20"/>
          <w:lang w:val="nl-NL"/>
        </w:rPr>
        <w:t>διακονι</w:t>
      </w:r>
      <w:r w:rsidRPr="00543FEA">
        <w:rPr>
          <w:sz w:val="20"/>
        </w:rPr>
        <w:t>́</w:t>
      </w:r>
      <w:r w:rsidRPr="00543FEA">
        <w:rPr>
          <w:sz w:val="20"/>
          <w:lang w:val="nl-NL"/>
        </w:rPr>
        <w:t>α</w:t>
      </w:r>
      <w:r w:rsidRPr="00543FEA">
        <w:rPr>
          <w:sz w:val="20"/>
        </w:rPr>
        <w:t xml:space="preserve"> of Practical Theology to the Alienated in South Africa in the Light of 1 Peter,” 1</w:t>
      </w:r>
      <w:r w:rsidRPr="00543FEA">
        <w:rPr>
          <w:sz w:val="20"/>
        </w:rPr>
        <w:sym w:font="Symbol" w:char="F02D"/>
      </w:r>
      <w:r w:rsidRPr="00543FEA">
        <w:rPr>
          <w:sz w:val="20"/>
        </w:rPr>
        <w:t xml:space="preserve">9; Gert Breed, "The Meaning of the </w:t>
      </w:r>
      <w:proofErr w:type="spellStart"/>
      <w:r w:rsidRPr="00543FEA">
        <w:rPr>
          <w:sz w:val="20"/>
        </w:rPr>
        <w:t>Diakon</w:t>
      </w:r>
      <w:proofErr w:type="spellEnd"/>
      <w:r w:rsidRPr="00543FEA">
        <w:rPr>
          <w:sz w:val="20"/>
        </w:rPr>
        <w:t xml:space="preserve"> Word Group in John 12:26,” 1</w:t>
      </w:r>
      <w:r w:rsidRPr="00543FEA">
        <w:rPr>
          <w:sz w:val="20"/>
        </w:rPr>
        <w:sym w:font="Symbol" w:char="F02D"/>
      </w:r>
      <w:r w:rsidRPr="00543FEA">
        <w:rPr>
          <w:sz w:val="20"/>
        </w:rPr>
        <w:t xml:space="preserve">8; Gert Breed, "Finding Guidelines on Social Change in the Two-Tiered Narrative and </w:t>
      </w:r>
      <w:proofErr w:type="spellStart"/>
      <w:r w:rsidRPr="00543FEA">
        <w:rPr>
          <w:sz w:val="20"/>
        </w:rPr>
        <w:t>δι</w:t>
      </w:r>
      <w:proofErr w:type="spellEnd"/>
      <w:r w:rsidRPr="00543FEA">
        <w:rPr>
          <w:sz w:val="20"/>
        </w:rPr>
        <w:t xml:space="preserve">ακονία in the Gospel of John," </w:t>
      </w:r>
      <w:r w:rsidRPr="00543FEA">
        <w:rPr>
          <w:i/>
          <w:sz w:val="20"/>
        </w:rPr>
        <w:t xml:space="preserve">HTS </w:t>
      </w:r>
      <w:proofErr w:type="spellStart"/>
      <w:r w:rsidRPr="00543FEA">
        <w:rPr>
          <w:i/>
          <w:sz w:val="20"/>
        </w:rPr>
        <w:t>Teologiese</w:t>
      </w:r>
      <w:proofErr w:type="spellEnd"/>
      <w:r w:rsidRPr="00543FEA">
        <w:rPr>
          <w:i/>
          <w:sz w:val="20"/>
        </w:rPr>
        <w:t xml:space="preserve"> Studies/ Theological Studies</w:t>
      </w:r>
      <w:r w:rsidRPr="00543FEA">
        <w:rPr>
          <w:sz w:val="20"/>
        </w:rPr>
        <w:t xml:space="preserve"> 7, no. 2 (April 2015): 1</w:t>
      </w:r>
      <w:r w:rsidRPr="00543FEA">
        <w:rPr>
          <w:sz w:val="20"/>
        </w:rPr>
        <w:sym w:font="Symbol" w:char="F02D"/>
      </w:r>
      <w:r w:rsidRPr="00543FEA">
        <w:rPr>
          <w:sz w:val="20"/>
        </w:rPr>
        <w:t xml:space="preserve">7, http:// dx.doi.org/10.4102/hts.v71i2.2666; Gert Breed, "Ministry to the Congregation according to the Letter to the Ephesians," </w:t>
      </w:r>
      <w:proofErr w:type="spellStart"/>
      <w:r w:rsidRPr="00543FEA">
        <w:rPr>
          <w:i/>
          <w:sz w:val="20"/>
        </w:rPr>
        <w:t>Acta</w:t>
      </w:r>
      <w:proofErr w:type="spellEnd"/>
      <w:r w:rsidRPr="00543FEA">
        <w:rPr>
          <w:i/>
          <w:sz w:val="20"/>
        </w:rPr>
        <w:t xml:space="preserve"> </w:t>
      </w:r>
      <w:proofErr w:type="spellStart"/>
      <w:r w:rsidRPr="00543FEA">
        <w:rPr>
          <w:i/>
          <w:sz w:val="20"/>
        </w:rPr>
        <w:t>Theologica</w:t>
      </w:r>
      <w:proofErr w:type="spellEnd"/>
      <w:r w:rsidRPr="00543FEA">
        <w:rPr>
          <w:sz w:val="20"/>
        </w:rPr>
        <w:t xml:space="preserve"> 35, no. 1 (June 2015): 37–58, http://dx.doi.org/10.4314/actat.v35i1.3; 2015; Gert Breed, "The </w:t>
      </w:r>
      <w:proofErr w:type="spellStart"/>
      <w:r w:rsidRPr="00543FEA">
        <w:rPr>
          <w:sz w:val="20"/>
        </w:rPr>
        <w:t>δι</w:t>
      </w:r>
      <w:proofErr w:type="spellEnd"/>
      <w:r w:rsidRPr="00543FEA">
        <w:rPr>
          <w:sz w:val="20"/>
        </w:rPr>
        <w:t xml:space="preserve">ακονία of the Elder </w:t>
      </w:r>
      <w:r>
        <w:rPr>
          <w:sz w:val="20"/>
        </w:rPr>
        <w:t>a</w:t>
      </w:r>
      <w:r w:rsidRPr="00543FEA">
        <w:rPr>
          <w:sz w:val="20"/>
        </w:rPr>
        <w:t xml:space="preserve">ccording to 1 Peter," </w:t>
      </w:r>
      <w:r w:rsidRPr="00543FEA">
        <w:rPr>
          <w:i/>
          <w:sz w:val="20"/>
        </w:rPr>
        <w:t xml:space="preserve">In die </w:t>
      </w:r>
      <w:proofErr w:type="spellStart"/>
      <w:r w:rsidRPr="00543FEA">
        <w:rPr>
          <w:i/>
          <w:sz w:val="20"/>
        </w:rPr>
        <w:t>Skriflig</w:t>
      </w:r>
      <w:proofErr w:type="spellEnd"/>
      <w:r w:rsidRPr="00543FEA">
        <w:rPr>
          <w:sz w:val="20"/>
        </w:rPr>
        <w:t xml:space="preserve"> 50, no. 3 (August 2016): 1</w:t>
      </w:r>
      <w:r w:rsidRPr="00543FEA">
        <w:rPr>
          <w:sz w:val="20"/>
        </w:rPr>
        <w:sym w:font="Symbol" w:char="F02D"/>
      </w:r>
      <w:r w:rsidRPr="00543FEA">
        <w:rPr>
          <w:sz w:val="20"/>
        </w:rPr>
        <w:t xml:space="preserve">7, http://dx.doi.org/10.4102/ids.v50i3.2102016; Gert Breed, "A Social Movement </w:t>
      </w:r>
      <w:r>
        <w:rPr>
          <w:sz w:val="20"/>
        </w:rPr>
        <w:t>a</w:t>
      </w:r>
      <w:r w:rsidRPr="00543FEA">
        <w:rPr>
          <w:sz w:val="20"/>
        </w:rPr>
        <w:t xml:space="preserve">gainst Corruption in the Footsteps of Jesus’ </w:t>
      </w:r>
      <w:proofErr w:type="spellStart"/>
      <w:r w:rsidRPr="00543FEA">
        <w:rPr>
          <w:sz w:val="20"/>
        </w:rPr>
        <w:t>δι</w:t>
      </w:r>
      <w:proofErr w:type="spellEnd"/>
      <w:r w:rsidRPr="00543FEA">
        <w:rPr>
          <w:sz w:val="20"/>
        </w:rPr>
        <w:t xml:space="preserve">ακονία </w:t>
      </w:r>
      <w:r>
        <w:rPr>
          <w:sz w:val="20"/>
        </w:rPr>
        <w:t>a</w:t>
      </w:r>
      <w:r w:rsidRPr="00543FEA">
        <w:rPr>
          <w:sz w:val="20"/>
        </w:rPr>
        <w:t xml:space="preserve">ccording to Matthew," in </w:t>
      </w:r>
      <w:r w:rsidRPr="00543FEA">
        <w:rPr>
          <w:i/>
          <w:sz w:val="20"/>
        </w:rPr>
        <w:t>Corruption in South Africa’s Liberal Democratic Context: Equipping Christian Leaders and  Communities for Their Role in Countering Corruption</w:t>
      </w:r>
      <w:r w:rsidRPr="00543FEA">
        <w:rPr>
          <w:sz w:val="20"/>
        </w:rPr>
        <w:t xml:space="preserve">, edited by F. P. Kruger and B. J. de Klerk (Durbanville: </w:t>
      </w:r>
      <w:proofErr w:type="spellStart"/>
      <w:r w:rsidRPr="00543FEA">
        <w:rPr>
          <w:sz w:val="20"/>
        </w:rPr>
        <w:t>Aosis</w:t>
      </w:r>
      <w:proofErr w:type="spellEnd"/>
      <w:r w:rsidRPr="00543FEA">
        <w:rPr>
          <w:sz w:val="20"/>
        </w:rPr>
        <w:t>, 2016)</w:t>
      </w:r>
      <w:r>
        <w:rPr>
          <w:sz w:val="20"/>
        </w:rPr>
        <w:t>,</w:t>
      </w:r>
      <w:r w:rsidRPr="00543FEA">
        <w:rPr>
          <w:sz w:val="20"/>
        </w:rPr>
        <w:t xml:space="preserve"> 160–184; Gert Breed, "Welcoming Children to the </w:t>
      </w:r>
      <w:proofErr w:type="spellStart"/>
      <w:r w:rsidRPr="00543FEA">
        <w:rPr>
          <w:sz w:val="20"/>
        </w:rPr>
        <w:t>δι</w:t>
      </w:r>
      <w:proofErr w:type="spellEnd"/>
      <w:r w:rsidRPr="00543FEA">
        <w:rPr>
          <w:sz w:val="20"/>
        </w:rPr>
        <w:t xml:space="preserve">ακονία of the Congregation," in </w:t>
      </w:r>
      <w:r w:rsidRPr="00543FEA">
        <w:rPr>
          <w:i/>
          <w:sz w:val="20"/>
        </w:rPr>
        <w:t>Theologies of Childhood and the Children of Africa</w:t>
      </w:r>
      <w:r w:rsidRPr="00543FEA">
        <w:rPr>
          <w:sz w:val="20"/>
        </w:rPr>
        <w:t xml:space="preserve">, edited by Jan </w:t>
      </w:r>
      <w:proofErr w:type="spellStart"/>
      <w:r w:rsidRPr="00543FEA">
        <w:rPr>
          <w:sz w:val="20"/>
        </w:rPr>
        <w:t>Grobbelaar</w:t>
      </w:r>
      <w:proofErr w:type="spellEnd"/>
      <w:r w:rsidRPr="00543FEA">
        <w:rPr>
          <w:sz w:val="20"/>
        </w:rPr>
        <w:t xml:space="preserve"> and Gert Breed (Durbanville: </w:t>
      </w:r>
      <w:proofErr w:type="spellStart"/>
      <w:r w:rsidRPr="00543FEA">
        <w:rPr>
          <w:sz w:val="20"/>
        </w:rPr>
        <w:t>Aosis</w:t>
      </w:r>
      <w:proofErr w:type="spellEnd"/>
      <w:r w:rsidRPr="00543FEA">
        <w:rPr>
          <w:sz w:val="20"/>
        </w:rPr>
        <w:t>, 2016)</w:t>
      </w:r>
      <w:r>
        <w:rPr>
          <w:sz w:val="20"/>
        </w:rPr>
        <w:t>,</w:t>
      </w:r>
      <w:r w:rsidRPr="00543FEA">
        <w:rPr>
          <w:sz w:val="20"/>
        </w:rPr>
        <w:t xml:space="preserve"> 274–300, http://books.aosis.co.za/index.php/ob/catalog/book/34; 2016.</w:t>
      </w:r>
    </w:p>
  </w:footnote>
  <w:footnote w:id="17">
    <w:p w14:paraId="2AF27794" w14:textId="52E4E2A6" w:rsidR="009C2066" w:rsidRPr="00543FEA" w:rsidRDefault="009C2066" w:rsidP="00D877FE">
      <w:pPr>
        <w:pStyle w:val="JTTEndnote"/>
        <w:spacing w:line="360" w:lineRule="auto"/>
        <w:rPr>
          <w:sz w:val="20"/>
          <w:lang w:val="en-ZA"/>
        </w:rPr>
      </w:pPr>
      <w:r w:rsidRPr="00543FEA">
        <w:rPr>
          <w:rStyle w:val="FootnoteReference"/>
          <w:sz w:val="20"/>
        </w:rPr>
        <w:footnoteRef/>
      </w:r>
      <w:r w:rsidRPr="00543FEA">
        <w:rPr>
          <w:sz w:val="20"/>
          <w:lang w:val="en-ZA"/>
        </w:rPr>
        <w:t xml:space="preserve"> Gert Breed, "’n </w:t>
      </w:r>
      <w:proofErr w:type="spellStart"/>
      <w:r w:rsidRPr="00543FEA">
        <w:rPr>
          <w:sz w:val="20"/>
          <w:lang w:val="en-ZA"/>
        </w:rPr>
        <w:t>Kritiese</w:t>
      </w:r>
      <w:proofErr w:type="spellEnd"/>
      <w:r w:rsidRPr="00543FEA">
        <w:rPr>
          <w:sz w:val="20"/>
          <w:lang w:val="en-ZA"/>
        </w:rPr>
        <w:t xml:space="preserve"> </w:t>
      </w:r>
      <w:proofErr w:type="spellStart"/>
      <w:r w:rsidRPr="00543FEA">
        <w:rPr>
          <w:sz w:val="20"/>
          <w:lang w:val="en-ZA"/>
        </w:rPr>
        <w:t>Blik</w:t>
      </w:r>
      <w:proofErr w:type="spellEnd"/>
      <w:r w:rsidRPr="00543FEA">
        <w:rPr>
          <w:sz w:val="20"/>
          <w:lang w:val="en-ZA"/>
        </w:rPr>
        <w:t xml:space="preserve"> op </w:t>
      </w:r>
      <w:proofErr w:type="spellStart"/>
      <w:r w:rsidRPr="00D877FE">
        <w:rPr>
          <w:i/>
          <w:iCs/>
          <w:sz w:val="20"/>
          <w:lang w:val="en-ZA"/>
        </w:rPr>
        <w:t>Missio</w:t>
      </w:r>
      <w:proofErr w:type="spellEnd"/>
      <w:r w:rsidRPr="00D877FE">
        <w:rPr>
          <w:i/>
          <w:iCs/>
          <w:sz w:val="20"/>
          <w:lang w:val="en-ZA"/>
        </w:rPr>
        <w:t xml:space="preserve"> Dei</w:t>
      </w:r>
      <w:r w:rsidRPr="00543FEA">
        <w:rPr>
          <w:sz w:val="20"/>
          <w:lang w:val="en-ZA"/>
        </w:rPr>
        <w:t xml:space="preserve"> in die </w:t>
      </w:r>
      <w:proofErr w:type="spellStart"/>
      <w:r w:rsidRPr="00543FEA">
        <w:rPr>
          <w:sz w:val="20"/>
          <w:lang w:val="en-ZA"/>
        </w:rPr>
        <w:t>Lig</w:t>
      </w:r>
      <w:proofErr w:type="spellEnd"/>
      <w:r w:rsidRPr="00543FEA">
        <w:rPr>
          <w:sz w:val="20"/>
          <w:lang w:val="en-ZA"/>
        </w:rPr>
        <w:t xml:space="preserve"> van </w:t>
      </w:r>
      <w:proofErr w:type="spellStart"/>
      <w:r w:rsidRPr="00543FEA">
        <w:rPr>
          <w:sz w:val="20"/>
          <w:lang w:val="en-ZA"/>
        </w:rPr>
        <w:t>Efesiërs</w:t>
      </w:r>
      <w:proofErr w:type="spellEnd"/>
      <w:r w:rsidRPr="00543FEA">
        <w:rPr>
          <w:sz w:val="20"/>
          <w:lang w:val="en-ZA"/>
        </w:rPr>
        <w:t xml:space="preserve">," </w:t>
      </w:r>
      <w:r w:rsidRPr="00543FEA">
        <w:rPr>
          <w:i/>
          <w:sz w:val="20"/>
          <w:lang w:val="en-ZA"/>
        </w:rPr>
        <w:t xml:space="preserve">In die </w:t>
      </w:r>
      <w:proofErr w:type="spellStart"/>
      <w:r w:rsidRPr="00543FEA">
        <w:rPr>
          <w:i/>
          <w:sz w:val="20"/>
          <w:lang w:val="en-ZA"/>
        </w:rPr>
        <w:t>Skriflig</w:t>
      </w:r>
      <w:proofErr w:type="spellEnd"/>
      <w:r w:rsidRPr="00543FEA">
        <w:rPr>
          <w:sz w:val="20"/>
          <w:lang w:val="en-ZA"/>
        </w:rPr>
        <w:t xml:space="preserve"> 48, no. 2 (Augustus 2014):</w:t>
      </w:r>
      <w:r w:rsidRPr="00543FEA">
        <w:rPr>
          <w:sz w:val="20"/>
        </w:rPr>
        <w:t xml:space="preserve"> 1</w:t>
      </w:r>
      <w:r w:rsidRPr="00543FEA">
        <w:rPr>
          <w:sz w:val="20"/>
        </w:rPr>
        <w:sym w:font="Symbol" w:char="F02D"/>
      </w:r>
      <w:r w:rsidRPr="00543FEA">
        <w:rPr>
          <w:sz w:val="20"/>
        </w:rPr>
        <w:t>9</w:t>
      </w:r>
      <w:r w:rsidRPr="00543FEA">
        <w:rPr>
          <w:sz w:val="20"/>
          <w:lang w:val="en-ZA"/>
        </w:rPr>
        <w:t>,  http://dx.doi.org/10.4102/ids.v48i2.1707; Gert Breed, "Ministry to the Congregation According to the Letter to the Ephesians," 37–38.</w:t>
      </w:r>
    </w:p>
  </w:footnote>
  <w:footnote w:id="18">
    <w:p w14:paraId="4B421ADA" w14:textId="31D7CF93" w:rsidR="009C2066" w:rsidRPr="00543FEA" w:rsidRDefault="009C2066" w:rsidP="00D877FE">
      <w:pPr>
        <w:pStyle w:val="JTTEndnote"/>
        <w:spacing w:line="360" w:lineRule="auto"/>
        <w:rPr>
          <w:sz w:val="20"/>
          <w:lang w:val="nl-NL"/>
        </w:rPr>
      </w:pPr>
      <w:r w:rsidRPr="00543FEA">
        <w:rPr>
          <w:rStyle w:val="FootnoteReference"/>
          <w:sz w:val="20"/>
        </w:rPr>
        <w:footnoteRef/>
      </w:r>
      <w:r w:rsidRPr="00543FEA">
        <w:rPr>
          <w:sz w:val="20"/>
          <w:lang w:val="nl-NL"/>
        </w:rPr>
        <w:t xml:space="preserve"> </w:t>
      </w:r>
      <w:r w:rsidRPr="00543FEA">
        <w:rPr>
          <w:sz w:val="20"/>
          <w:lang w:val="nl-NL"/>
        </w:rPr>
        <w:t xml:space="preserve">Ibid., 4; L. Floor, "Een Blauwdruk </w:t>
      </w:r>
      <w:r>
        <w:rPr>
          <w:sz w:val="20"/>
          <w:lang w:val="nl-NL"/>
        </w:rPr>
        <w:t>v</w:t>
      </w:r>
      <w:r w:rsidRPr="00543FEA">
        <w:rPr>
          <w:sz w:val="20"/>
          <w:lang w:val="nl-NL"/>
        </w:rPr>
        <w:t xml:space="preserve">oor de Toekomst: Efeziërs 1:9-10," </w:t>
      </w:r>
      <w:r w:rsidRPr="00543FEA">
        <w:rPr>
          <w:i/>
          <w:sz w:val="20"/>
          <w:lang w:val="nl-NL"/>
        </w:rPr>
        <w:t>In die Skriflig</w:t>
      </w:r>
      <w:r w:rsidRPr="00543FEA">
        <w:rPr>
          <w:sz w:val="20"/>
          <w:lang w:val="nl-NL"/>
        </w:rPr>
        <w:t xml:space="preserve"> 45, no. 2&amp;3 (Junie 2011): 471.</w:t>
      </w:r>
    </w:p>
  </w:footnote>
  <w:footnote w:id="19">
    <w:p w14:paraId="5A918F3E" w14:textId="09BD3399" w:rsidR="009C2066" w:rsidRPr="00543FEA" w:rsidRDefault="009C2066" w:rsidP="00D877FE">
      <w:pPr>
        <w:pStyle w:val="JTTEndnote"/>
        <w:spacing w:line="360" w:lineRule="auto"/>
        <w:rPr>
          <w:sz w:val="20"/>
          <w:lang w:val="en-ZA"/>
        </w:rPr>
      </w:pPr>
      <w:r w:rsidRPr="00543FEA">
        <w:rPr>
          <w:rStyle w:val="FootnoteReference"/>
          <w:sz w:val="20"/>
        </w:rPr>
        <w:footnoteRef/>
      </w:r>
      <w:r w:rsidRPr="00543FEA">
        <w:rPr>
          <w:sz w:val="20"/>
          <w:lang w:val="en-ZA"/>
        </w:rPr>
        <w:t xml:space="preserve"> </w:t>
      </w:r>
      <w:r w:rsidRPr="00543FEA">
        <w:rPr>
          <w:sz w:val="20"/>
        </w:rPr>
        <w:t xml:space="preserve">Harold Walter </w:t>
      </w:r>
      <w:proofErr w:type="spellStart"/>
      <w:r w:rsidRPr="00543FEA">
        <w:rPr>
          <w:sz w:val="20"/>
        </w:rPr>
        <w:t>Hoehner</w:t>
      </w:r>
      <w:proofErr w:type="spellEnd"/>
      <w:r w:rsidRPr="00543FEA">
        <w:rPr>
          <w:sz w:val="20"/>
        </w:rPr>
        <w:t xml:space="preserve">, </w:t>
      </w:r>
      <w:r w:rsidRPr="00543FEA">
        <w:rPr>
          <w:i/>
          <w:sz w:val="20"/>
        </w:rPr>
        <w:t>Ephesians: An Exegetical Commentary</w:t>
      </w:r>
      <w:r w:rsidRPr="00543FEA">
        <w:rPr>
          <w:sz w:val="20"/>
        </w:rPr>
        <w:t xml:space="preserve"> (Grand Rapids: Baker Academic, 2002)</w:t>
      </w:r>
      <w:r>
        <w:rPr>
          <w:sz w:val="20"/>
        </w:rPr>
        <w:t>,</w:t>
      </w:r>
      <w:r w:rsidRPr="00543FEA">
        <w:rPr>
          <w:sz w:val="20"/>
        </w:rPr>
        <w:t xml:space="preserve"> </w:t>
      </w:r>
      <w:r w:rsidRPr="00543FEA">
        <w:rPr>
          <w:sz w:val="20"/>
          <w:lang w:val="en-ZA"/>
        </w:rPr>
        <w:t xml:space="preserve">348; Peter T. O'Brien, </w:t>
      </w:r>
      <w:r w:rsidRPr="00543FEA">
        <w:rPr>
          <w:i/>
          <w:sz w:val="20"/>
          <w:lang w:val="en-ZA"/>
        </w:rPr>
        <w:t>The Letter to the Ephesians</w:t>
      </w:r>
      <w:r w:rsidRPr="00543FEA">
        <w:rPr>
          <w:sz w:val="20"/>
          <w:lang w:val="en-ZA"/>
        </w:rPr>
        <w:t xml:space="preserve"> (Grand Rapids: Eerdmans,1999)</w:t>
      </w:r>
      <w:r>
        <w:rPr>
          <w:sz w:val="20"/>
          <w:lang w:val="en-ZA"/>
        </w:rPr>
        <w:t>,</w:t>
      </w:r>
      <w:r w:rsidRPr="00543FEA">
        <w:rPr>
          <w:sz w:val="20"/>
          <w:lang w:val="en-ZA"/>
        </w:rPr>
        <w:t xml:space="preserve"> 18.</w:t>
      </w:r>
    </w:p>
  </w:footnote>
  <w:footnote w:id="20">
    <w:p w14:paraId="783CFFF5" w14:textId="66F08C79" w:rsidR="009C2066" w:rsidRPr="00543FEA" w:rsidRDefault="009C2066" w:rsidP="00543FEA">
      <w:pPr>
        <w:pStyle w:val="JTTEndnote"/>
        <w:spacing w:line="360" w:lineRule="auto"/>
        <w:rPr>
          <w:sz w:val="20"/>
          <w:lang w:val="en-ZA"/>
        </w:rPr>
      </w:pPr>
      <w:r w:rsidRPr="00543FEA">
        <w:rPr>
          <w:rStyle w:val="FootnoteReference"/>
          <w:sz w:val="20"/>
        </w:rPr>
        <w:footnoteRef/>
      </w:r>
      <w:r w:rsidRPr="00543FEA">
        <w:rPr>
          <w:sz w:val="20"/>
          <w:lang w:val="en-ZA"/>
        </w:rPr>
        <w:t xml:space="preserve">  Gert Breed, "’n </w:t>
      </w:r>
      <w:proofErr w:type="spellStart"/>
      <w:r w:rsidRPr="00543FEA">
        <w:rPr>
          <w:sz w:val="20"/>
          <w:lang w:val="en-ZA"/>
        </w:rPr>
        <w:t>Kritiese</w:t>
      </w:r>
      <w:proofErr w:type="spellEnd"/>
      <w:r w:rsidRPr="00543FEA">
        <w:rPr>
          <w:sz w:val="20"/>
          <w:lang w:val="en-ZA"/>
        </w:rPr>
        <w:t xml:space="preserve"> </w:t>
      </w:r>
      <w:proofErr w:type="spellStart"/>
      <w:r w:rsidRPr="00543FEA">
        <w:rPr>
          <w:sz w:val="20"/>
          <w:lang w:val="en-ZA"/>
        </w:rPr>
        <w:t>Blik</w:t>
      </w:r>
      <w:proofErr w:type="spellEnd"/>
      <w:r w:rsidRPr="00543FEA">
        <w:rPr>
          <w:sz w:val="20"/>
          <w:lang w:val="en-ZA"/>
        </w:rPr>
        <w:t xml:space="preserve"> op </w:t>
      </w:r>
      <w:proofErr w:type="spellStart"/>
      <w:r w:rsidRPr="00D877FE">
        <w:rPr>
          <w:i/>
          <w:iCs/>
          <w:sz w:val="20"/>
          <w:lang w:val="en-ZA"/>
        </w:rPr>
        <w:t>Missio</w:t>
      </w:r>
      <w:proofErr w:type="spellEnd"/>
      <w:r w:rsidRPr="00D877FE">
        <w:rPr>
          <w:i/>
          <w:iCs/>
          <w:sz w:val="20"/>
          <w:lang w:val="en-ZA"/>
        </w:rPr>
        <w:t xml:space="preserve"> Dei</w:t>
      </w:r>
      <w:r w:rsidRPr="00543FEA">
        <w:rPr>
          <w:sz w:val="20"/>
          <w:lang w:val="en-ZA"/>
        </w:rPr>
        <w:t xml:space="preserve"> in die </w:t>
      </w:r>
      <w:proofErr w:type="spellStart"/>
      <w:r w:rsidRPr="00543FEA">
        <w:rPr>
          <w:sz w:val="20"/>
          <w:lang w:val="en-ZA"/>
        </w:rPr>
        <w:t>Lig</w:t>
      </w:r>
      <w:proofErr w:type="spellEnd"/>
      <w:r w:rsidRPr="00543FEA">
        <w:rPr>
          <w:sz w:val="20"/>
          <w:lang w:val="en-ZA"/>
        </w:rPr>
        <w:t xml:space="preserve"> van </w:t>
      </w:r>
      <w:proofErr w:type="spellStart"/>
      <w:r w:rsidRPr="00543FEA">
        <w:rPr>
          <w:sz w:val="20"/>
          <w:lang w:val="en-ZA"/>
        </w:rPr>
        <w:t>Efesiërs</w:t>
      </w:r>
      <w:proofErr w:type="spellEnd"/>
      <w:r w:rsidRPr="00543FEA">
        <w:rPr>
          <w:sz w:val="20"/>
          <w:lang w:val="en-ZA"/>
        </w:rPr>
        <w:t>," 1–8; Breed, "Ministry to the Congregation According to the Letter to the Ephesians," 1–7.</w:t>
      </w:r>
    </w:p>
  </w:footnote>
  <w:footnote w:id="21">
    <w:p w14:paraId="6B8C9A31" w14:textId="2CFC3E46" w:rsidR="009C2066" w:rsidRPr="00543FEA" w:rsidRDefault="009C2066" w:rsidP="00D877FE">
      <w:pPr>
        <w:pStyle w:val="JTTEndnote"/>
        <w:spacing w:line="360" w:lineRule="auto"/>
        <w:rPr>
          <w:sz w:val="20"/>
        </w:rPr>
      </w:pPr>
      <w:r w:rsidRPr="00543FEA">
        <w:rPr>
          <w:rStyle w:val="FootnoteReference"/>
          <w:sz w:val="20"/>
        </w:rPr>
        <w:footnoteRef/>
      </w:r>
      <w:r w:rsidRPr="00543FEA">
        <w:rPr>
          <w:sz w:val="20"/>
        </w:rPr>
        <w:t xml:space="preserve"> Timothy Van </w:t>
      </w:r>
      <w:proofErr w:type="spellStart"/>
      <w:r w:rsidRPr="00543FEA">
        <w:rPr>
          <w:sz w:val="20"/>
        </w:rPr>
        <w:t>Aarde</w:t>
      </w:r>
      <w:proofErr w:type="spellEnd"/>
      <w:r w:rsidRPr="00543FEA">
        <w:rPr>
          <w:sz w:val="20"/>
        </w:rPr>
        <w:t>, "The Missional Purpose of the Letter to the Ephesians" (</w:t>
      </w:r>
      <w:proofErr w:type="spellStart"/>
      <w:r w:rsidRPr="00543FEA">
        <w:rPr>
          <w:sz w:val="20"/>
        </w:rPr>
        <w:t>ThD</w:t>
      </w:r>
      <w:proofErr w:type="spellEnd"/>
      <w:r w:rsidRPr="00543FEA">
        <w:rPr>
          <w:sz w:val="20"/>
        </w:rPr>
        <w:t xml:space="preserve"> diss., North-West University, Potchefstroom, 2014)</w:t>
      </w:r>
      <w:r>
        <w:rPr>
          <w:sz w:val="20"/>
        </w:rPr>
        <w:t>,</w:t>
      </w:r>
      <w:r w:rsidRPr="00543FEA">
        <w:rPr>
          <w:sz w:val="20"/>
        </w:rPr>
        <w:t xml:space="preserve"> 210; Floor, "</w:t>
      </w:r>
      <w:proofErr w:type="spellStart"/>
      <w:r w:rsidRPr="00543FEA">
        <w:rPr>
          <w:sz w:val="20"/>
        </w:rPr>
        <w:t>Een</w:t>
      </w:r>
      <w:proofErr w:type="spellEnd"/>
      <w:r w:rsidRPr="00543FEA">
        <w:rPr>
          <w:sz w:val="20"/>
        </w:rPr>
        <w:t xml:space="preserve"> </w:t>
      </w:r>
      <w:proofErr w:type="spellStart"/>
      <w:r w:rsidRPr="00543FEA">
        <w:rPr>
          <w:sz w:val="20"/>
        </w:rPr>
        <w:t>Blauwdruk</w:t>
      </w:r>
      <w:proofErr w:type="spellEnd"/>
      <w:r w:rsidRPr="00543FEA">
        <w:rPr>
          <w:sz w:val="20"/>
        </w:rPr>
        <w:t xml:space="preserve"> </w:t>
      </w:r>
      <w:proofErr w:type="spellStart"/>
      <w:r w:rsidRPr="00543FEA">
        <w:rPr>
          <w:sz w:val="20"/>
        </w:rPr>
        <w:t>Voor</w:t>
      </w:r>
      <w:proofErr w:type="spellEnd"/>
      <w:r w:rsidRPr="00543FEA">
        <w:rPr>
          <w:sz w:val="20"/>
        </w:rPr>
        <w:t xml:space="preserve"> de </w:t>
      </w:r>
      <w:proofErr w:type="spellStart"/>
      <w:r w:rsidRPr="00543FEA">
        <w:rPr>
          <w:sz w:val="20"/>
        </w:rPr>
        <w:t>Toekomst</w:t>
      </w:r>
      <w:proofErr w:type="spellEnd"/>
      <w:r w:rsidRPr="00543FEA">
        <w:rPr>
          <w:sz w:val="20"/>
        </w:rPr>
        <w:t xml:space="preserve">,” 467–80; Jody A. Barnard, "Unity in Christ: The Purpose of Ephesians," </w:t>
      </w:r>
      <w:r w:rsidRPr="00543FEA">
        <w:rPr>
          <w:i/>
          <w:iCs/>
          <w:sz w:val="20"/>
        </w:rPr>
        <w:t>The Expository Times</w:t>
      </w:r>
      <w:r w:rsidRPr="00543FEA">
        <w:rPr>
          <w:sz w:val="20"/>
        </w:rPr>
        <w:t xml:space="preserve"> 120, no. 4 (January 2009): 168, https://doi.org/10.1177/0014524608099799; John Pester, "The Role of Revelation in the</w:t>
      </w:r>
      <w:r w:rsidRPr="005B1C5D">
        <w:t xml:space="preserve"> </w:t>
      </w:r>
      <w:r w:rsidRPr="00A402B8">
        <w:rPr>
          <w:sz w:val="20"/>
        </w:rPr>
        <w:t>Fulfilment of the</w:t>
      </w:r>
      <w:r w:rsidRPr="005B1C5D">
        <w:t xml:space="preserve"> </w:t>
      </w:r>
      <w:r w:rsidRPr="00543FEA">
        <w:rPr>
          <w:sz w:val="20"/>
        </w:rPr>
        <w:t xml:space="preserve">Economy in God in Ephesians," </w:t>
      </w:r>
      <w:r w:rsidRPr="00543FEA">
        <w:rPr>
          <w:i/>
          <w:sz w:val="20"/>
        </w:rPr>
        <w:t>Affirmation and Critique</w:t>
      </w:r>
      <w:r w:rsidRPr="00543FEA">
        <w:rPr>
          <w:sz w:val="20"/>
        </w:rPr>
        <w:t xml:space="preserve"> 14, no. 2 (Fall 2009): 29–42.</w:t>
      </w:r>
    </w:p>
  </w:footnote>
  <w:footnote w:id="22">
    <w:p w14:paraId="5DCB2A8C" w14:textId="6A24BC25" w:rsidR="009C2066" w:rsidRPr="00201E81" w:rsidRDefault="009C2066" w:rsidP="00201E81">
      <w:pPr>
        <w:pStyle w:val="JTTEndnote"/>
        <w:spacing w:line="360" w:lineRule="auto"/>
        <w:rPr>
          <w:sz w:val="20"/>
          <w:lang w:val="en-ZA"/>
        </w:rPr>
      </w:pPr>
      <w:r w:rsidRPr="00201E81">
        <w:rPr>
          <w:rStyle w:val="FootnoteReference"/>
          <w:sz w:val="20"/>
        </w:rPr>
        <w:footnoteRef/>
      </w:r>
      <w:r w:rsidRPr="00201E81">
        <w:rPr>
          <w:sz w:val="20"/>
          <w:lang w:val="en-ZA"/>
        </w:rPr>
        <w:t xml:space="preserve"> </w:t>
      </w:r>
      <w:r w:rsidRPr="00201E81">
        <w:rPr>
          <w:rFonts w:ascii="Arial" w:hAnsi="Arial"/>
          <w:iCs/>
          <w:sz w:val="20"/>
          <w:lang w:val="en-ZA"/>
        </w:rPr>
        <w:t xml:space="preserve"> </w:t>
      </w:r>
      <w:r w:rsidRPr="00201E81">
        <w:rPr>
          <w:sz w:val="20"/>
        </w:rPr>
        <w:t xml:space="preserve">Van </w:t>
      </w:r>
      <w:proofErr w:type="spellStart"/>
      <w:r w:rsidRPr="00201E81">
        <w:rPr>
          <w:sz w:val="20"/>
        </w:rPr>
        <w:t>Aarde</w:t>
      </w:r>
      <w:proofErr w:type="spellEnd"/>
      <w:r w:rsidRPr="00201E81">
        <w:rPr>
          <w:sz w:val="20"/>
        </w:rPr>
        <w:t>, "The Missional Purpose,”</w:t>
      </w:r>
      <w:r w:rsidRPr="00201E81">
        <w:rPr>
          <w:rFonts w:ascii="Arial" w:hAnsi="Arial"/>
          <w:iCs/>
          <w:sz w:val="20"/>
          <w:lang w:val="en-ZA"/>
        </w:rPr>
        <w:t xml:space="preserve"> </w:t>
      </w:r>
      <w:r w:rsidRPr="00201E81">
        <w:rPr>
          <w:rFonts w:cs="Times New Roman"/>
          <w:iCs/>
          <w:sz w:val="20"/>
          <w:lang w:val="en-ZA"/>
        </w:rPr>
        <w:t>169.</w:t>
      </w:r>
    </w:p>
  </w:footnote>
  <w:footnote w:id="23">
    <w:p w14:paraId="0EC2FC52" w14:textId="14E85EFC" w:rsidR="009C2066" w:rsidRPr="00201E81" w:rsidRDefault="009C2066" w:rsidP="00D877FE">
      <w:pPr>
        <w:pStyle w:val="JTTEndnote"/>
        <w:spacing w:line="360" w:lineRule="auto"/>
        <w:rPr>
          <w:sz w:val="20"/>
        </w:rPr>
      </w:pPr>
      <w:r w:rsidRPr="00201E81">
        <w:rPr>
          <w:rStyle w:val="FootnoteReference"/>
          <w:sz w:val="20"/>
        </w:rPr>
        <w:footnoteRef/>
      </w:r>
      <w:r w:rsidRPr="00201E81">
        <w:rPr>
          <w:sz w:val="20"/>
        </w:rPr>
        <w:t xml:space="preserve">  Andrew T. Lincoln, </w:t>
      </w:r>
      <w:r w:rsidRPr="00201E81">
        <w:rPr>
          <w:i/>
          <w:sz w:val="20"/>
        </w:rPr>
        <w:t>Ephesians</w:t>
      </w:r>
      <w:r w:rsidRPr="00201E81">
        <w:rPr>
          <w:sz w:val="20"/>
        </w:rPr>
        <w:t xml:space="preserve"> (Dallas: Word Incorporated,1990)</w:t>
      </w:r>
      <w:r>
        <w:rPr>
          <w:sz w:val="20"/>
        </w:rPr>
        <w:t>,</w:t>
      </w:r>
      <w:r w:rsidRPr="00201E81">
        <w:rPr>
          <w:sz w:val="20"/>
        </w:rPr>
        <w:t xml:space="preserve"> 254.</w:t>
      </w:r>
    </w:p>
  </w:footnote>
  <w:footnote w:id="24">
    <w:p w14:paraId="53547E63" w14:textId="3A712BF4" w:rsidR="009C2066" w:rsidRPr="00543FEA" w:rsidRDefault="009C2066" w:rsidP="00D877FE">
      <w:pPr>
        <w:pStyle w:val="JTTEndnote"/>
        <w:spacing w:line="360" w:lineRule="auto"/>
        <w:rPr>
          <w:sz w:val="20"/>
        </w:rPr>
      </w:pPr>
      <w:r w:rsidRPr="00201E81">
        <w:rPr>
          <w:rStyle w:val="FootnoteReference"/>
          <w:sz w:val="20"/>
        </w:rPr>
        <w:footnoteRef/>
      </w:r>
      <w:r w:rsidRPr="00201E81">
        <w:rPr>
          <w:sz w:val="20"/>
        </w:rPr>
        <w:t xml:space="preserve"> Esther </w:t>
      </w:r>
      <w:proofErr w:type="spellStart"/>
      <w:r w:rsidRPr="00201E81">
        <w:rPr>
          <w:sz w:val="20"/>
        </w:rPr>
        <w:t>Petrenko</w:t>
      </w:r>
      <w:proofErr w:type="spellEnd"/>
      <w:r w:rsidRPr="00201E81">
        <w:rPr>
          <w:sz w:val="20"/>
        </w:rPr>
        <w:t xml:space="preserve">, </w:t>
      </w:r>
      <w:r w:rsidRPr="00201E81">
        <w:rPr>
          <w:i/>
          <w:iCs/>
          <w:sz w:val="20"/>
        </w:rPr>
        <w:t>Created in Christ Jesus for Good Works: The Integration of Soteriology and Ethics in</w:t>
      </w:r>
      <w:r w:rsidRPr="00543FEA">
        <w:rPr>
          <w:i/>
          <w:iCs/>
          <w:sz w:val="20"/>
        </w:rPr>
        <w:t xml:space="preserve"> Ephesians</w:t>
      </w:r>
      <w:r w:rsidRPr="00543FEA">
        <w:rPr>
          <w:sz w:val="20"/>
        </w:rPr>
        <w:t xml:space="preserve"> (Milton Keynes: Paternoster, 2011)</w:t>
      </w:r>
      <w:r>
        <w:rPr>
          <w:sz w:val="20"/>
        </w:rPr>
        <w:t>,</w:t>
      </w:r>
      <w:r w:rsidRPr="00543FEA">
        <w:rPr>
          <w:sz w:val="20"/>
        </w:rPr>
        <w:t>156, 157.</w:t>
      </w:r>
    </w:p>
  </w:footnote>
  <w:footnote w:id="25">
    <w:p w14:paraId="56D85472" w14:textId="3A520096" w:rsidR="009C2066" w:rsidRPr="00543FEA" w:rsidRDefault="009C2066" w:rsidP="004C1136">
      <w:pPr>
        <w:pStyle w:val="JTTEndnote"/>
        <w:spacing w:line="360" w:lineRule="auto"/>
        <w:rPr>
          <w:sz w:val="20"/>
          <w:lang w:val="nl-NL"/>
        </w:rPr>
      </w:pPr>
      <w:r w:rsidRPr="00543FEA">
        <w:rPr>
          <w:rStyle w:val="FootnoteReference"/>
          <w:sz w:val="20"/>
        </w:rPr>
        <w:footnoteRef/>
      </w:r>
      <w:r w:rsidRPr="00543FEA">
        <w:rPr>
          <w:sz w:val="20"/>
          <w:lang w:val="nl-NL"/>
        </w:rPr>
        <w:t xml:space="preserve"> </w:t>
      </w:r>
      <w:r w:rsidRPr="00543FEA">
        <w:rPr>
          <w:sz w:val="20"/>
          <w:lang w:val="nl-NL"/>
        </w:rPr>
        <w:t>See Van Aarde, "T</w:t>
      </w:r>
      <w:r w:rsidR="004F7FB5">
        <w:rPr>
          <w:sz w:val="20"/>
          <w:lang w:val="nl-NL"/>
        </w:rPr>
        <w:t>he Missional Purpose,” 144</w:t>
      </w:r>
      <w:r w:rsidRPr="00543FEA">
        <w:rPr>
          <w:sz w:val="20"/>
          <w:lang w:val="nl-NL"/>
        </w:rPr>
        <w:t>.</w:t>
      </w:r>
      <w:r>
        <w:rPr>
          <w:sz w:val="20"/>
          <w:lang w:val="nl-NL"/>
        </w:rPr>
        <w:t xml:space="preserve"> </w:t>
      </w:r>
    </w:p>
  </w:footnote>
  <w:footnote w:id="26">
    <w:p w14:paraId="5EDA7F77" w14:textId="71DA1833" w:rsidR="009C2066" w:rsidRPr="00543FEA" w:rsidRDefault="009C2066" w:rsidP="00543FEA">
      <w:pPr>
        <w:pStyle w:val="JTTEndnote"/>
        <w:spacing w:line="360" w:lineRule="auto"/>
        <w:rPr>
          <w:sz w:val="20"/>
        </w:rPr>
      </w:pPr>
      <w:r w:rsidRPr="00543FEA">
        <w:rPr>
          <w:rStyle w:val="FootnoteReference"/>
          <w:sz w:val="20"/>
        </w:rPr>
        <w:footnoteRef/>
      </w:r>
      <w:r w:rsidRPr="00543FEA">
        <w:rPr>
          <w:sz w:val="20"/>
        </w:rPr>
        <w:t xml:space="preserve">  Emmanuel D. </w:t>
      </w:r>
      <w:proofErr w:type="spellStart"/>
      <w:r w:rsidRPr="00543FEA">
        <w:rPr>
          <w:sz w:val="20"/>
        </w:rPr>
        <w:t>Mbennah</w:t>
      </w:r>
      <w:proofErr w:type="spellEnd"/>
      <w:r w:rsidRPr="00543FEA">
        <w:rPr>
          <w:sz w:val="20"/>
        </w:rPr>
        <w:t xml:space="preserve">, "The Goal of Maturity in Ephesians 4:13-16," </w:t>
      </w:r>
      <w:proofErr w:type="spellStart"/>
      <w:r w:rsidRPr="00543FEA">
        <w:rPr>
          <w:i/>
          <w:iCs/>
          <w:sz w:val="20"/>
        </w:rPr>
        <w:t>Acta</w:t>
      </w:r>
      <w:proofErr w:type="spellEnd"/>
      <w:r w:rsidRPr="00543FEA">
        <w:rPr>
          <w:i/>
          <w:iCs/>
          <w:sz w:val="20"/>
        </w:rPr>
        <w:t xml:space="preserve"> </w:t>
      </w:r>
      <w:proofErr w:type="spellStart"/>
      <w:r w:rsidRPr="00543FEA">
        <w:rPr>
          <w:i/>
          <w:iCs/>
          <w:sz w:val="20"/>
        </w:rPr>
        <w:t>Theologica</w:t>
      </w:r>
      <w:proofErr w:type="spellEnd"/>
      <w:r w:rsidRPr="00543FEA">
        <w:rPr>
          <w:sz w:val="20"/>
        </w:rPr>
        <w:t xml:space="preserve"> 36, no. 1 (June 2016): 110–32, 116–118, http://dx.doi.org/10.4314/actat.v36i1.7.  </w:t>
      </w:r>
    </w:p>
  </w:footnote>
  <w:footnote w:id="27">
    <w:p w14:paraId="689B6288" w14:textId="22B01266" w:rsidR="009C2066" w:rsidRPr="00543FEA" w:rsidRDefault="009C2066" w:rsidP="00A719CF">
      <w:pPr>
        <w:pStyle w:val="JTTEndnote"/>
        <w:spacing w:line="360" w:lineRule="auto"/>
        <w:rPr>
          <w:sz w:val="20"/>
        </w:rPr>
      </w:pPr>
      <w:r w:rsidRPr="00543FEA">
        <w:rPr>
          <w:rStyle w:val="FootnoteReference"/>
          <w:sz w:val="20"/>
        </w:rPr>
        <w:footnoteRef/>
      </w:r>
      <w:r w:rsidRPr="00543FEA">
        <w:rPr>
          <w:sz w:val="20"/>
        </w:rPr>
        <w:t xml:space="preserve"> Breed, "The Meaning of the </w:t>
      </w:r>
      <w:proofErr w:type="spellStart"/>
      <w:r w:rsidRPr="00543FEA">
        <w:rPr>
          <w:sz w:val="20"/>
        </w:rPr>
        <w:t>Diakon</w:t>
      </w:r>
      <w:proofErr w:type="spellEnd"/>
      <w:r w:rsidRPr="00543FEA">
        <w:rPr>
          <w:sz w:val="20"/>
        </w:rPr>
        <w:t xml:space="preserve"> Word Group in John 12:26</w:t>
      </w:r>
      <w:proofErr w:type="gramStart"/>
      <w:r w:rsidRPr="00543FEA">
        <w:rPr>
          <w:sz w:val="20"/>
        </w:rPr>
        <w:t>” ;</w:t>
      </w:r>
      <w:proofErr w:type="gramEnd"/>
      <w:r w:rsidRPr="00543FEA">
        <w:rPr>
          <w:sz w:val="20"/>
        </w:rPr>
        <w:t xml:space="preserve"> Breed, "Finding Guidelines on Social Change," 1–8.</w:t>
      </w:r>
    </w:p>
  </w:footnote>
  <w:footnote w:id="28">
    <w:p w14:paraId="48F1320B" w14:textId="0C19C042" w:rsidR="009C2066" w:rsidRPr="00543FEA" w:rsidRDefault="009C2066" w:rsidP="00543FEA">
      <w:pPr>
        <w:pStyle w:val="JTTEndnote"/>
        <w:spacing w:line="360" w:lineRule="auto"/>
        <w:rPr>
          <w:sz w:val="20"/>
        </w:rPr>
      </w:pPr>
      <w:r w:rsidRPr="00543FEA">
        <w:rPr>
          <w:rStyle w:val="FootnoteReference"/>
          <w:sz w:val="20"/>
        </w:rPr>
        <w:footnoteRef/>
      </w:r>
      <w:r w:rsidRPr="00543FEA">
        <w:rPr>
          <w:sz w:val="20"/>
        </w:rPr>
        <w:t xml:space="preserve"> Breed, "Finding Guidelines on Social Change," 3, 4.</w:t>
      </w:r>
    </w:p>
  </w:footnote>
  <w:footnote w:id="29">
    <w:p w14:paraId="6FFE749E" w14:textId="57BE95F7" w:rsidR="009C2066" w:rsidRPr="00543FEA" w:rsidRDefault="009C2066" w:rsidP="00A719CF">
      <w:pPr>
        <w:pStyle w:val="JTTEndnote"/>
        <w:spacing w:line="360" w:lineRule="auto"/>
        <w:rPr>
          <w:sz w:val="20"/>
        </w:rPr>
      </w:pPr>
      <w:r w:rsidRPr="00543FEA">
        <w:rPr>
          <w:rStyle w:val="FootnoteReference"/>
          <w:sz w:val="20"/>
        </w:rPr>
        <w:footnoteRef/>
      </w:r>
      <w:r w:rsidRPr="00543FEA">
        <w:rPr>
          <w:sz w:val="20"/>
        </w:rPr>
        <w:t xml:space="preserve"> Ibid.; Frederick Dale Bruner, </w:t>
      </w:r>
      <w:r w:rsidRPr="00543FEA">
        <w:rPr>
          <w:i/>
          <w:sz w:val="20"/>
        </w:rPr>
        <w:t xml:space="preserve">The Gospel of John: A Commentary </w:t>
      </w:r>
      <w:r w:rsidRPr="00543FEA">
        <w:rPr>
          <w:sz w:val="20"/>
        </w:rPr>
        <w:t>(Grand Rapids: Eerdmans, 2012)</w:t>
      </w:r>
      <w:r>
        <w:rPr>
          <w:sz w:val="20"/>
        </w:rPr>
        <w:t>,</w:t>
      </w:r>
      <w:r w:rsidRPr="00543FEA">
        <w:rPr>
          <w:sz w:val="20"/>
        </w:rPr>
        <w:t xml:space="preserve"> 734.</w:t>
      </w:r>
    </w:p>
  </w:footnote>
  <w:footnote w:id="30">
    <w:p w14:paraId="669C6567" w14:textId="458C0670" w:rsidR="009C2066" w:rsidRPr="00543FEA" w:rsidRDefault="009C2066" w:rsidP="00A719CF">
      <w:pPr>
        <w:pStyle w:val="JTTEndnote"/>
        <w:spacing w:line="360" w:lineRule="auto"/>
        <w:rPr>
          <w:sz w:val="20"/>
        </w:rPr>
      </w:pPr>
      <w:r w:rsidRPr="00543FEA">
        <w:rPr>
          <w:rStyle w:val="FootnoteReference"/>
          <w:sz w:val="20"/>
        </w:rPr>
        <w:footnoteRef/>
      </w:r>
      <w:r w:rsidRPr="00543FEA">
        <w:rPr>
          <w:sz w:val="20"/>
        </w:rPr>
        <w:t xml:space="preserve"> Andreas J. </w:t>
      </w:r>
      <w:proofErr w:type="spellStart"/>
      <w:r w:rsidRPr="00543FEA">
        <w:rPr>
          <w:sz w:val="20"/>
        </w:rPr>
        <w:t>Köstenberger</w:t>
      </w:r>
      <w:proofErr w:type="spellEnd"/>
      <w:r w:rsidRPr="00543FEA">
        <w:rPr>
          <w:sz w:val="20"/>
        </w:rPr>
        <w:t xml:space="preserve"> and Scott R. Swain, </w:t>
      </w:r>
      <w:r w:rsidRPr="00543FEA">
        <w:rPr>
          <w:i/>
          <w:sz w:val="20"/>
        </w:rPr>
        <w:t>Father,</w:t>
      </w:r>
      <w:r w:rsidRPr="00543FEA">
        <w:rPr>
          <w:sz w:val="20"/>
        </w:rPr>
        <w:t xml:space="preserve"> </w:t>
      </w:r>
      <w:r w:rsidRPr="00543FEA">
        <w:rPr>
          <w:i/>
          <w:sz w:val="20"/>
        </w:rPr>
        <w:t xml:space="preserve">Son and Spirit: The Trinity and John’s Gospel </w:t>
      </w:r>
      <w:r w:rsidRPr="00543FEA">
        <w:rPr>
          <w:sz w:val="20"/>
        </w:rPr>
        <w:t xml:space="preserve">(Downers Grove: </w:t>
      </w:r>
      <w:proofErr w:type="spellStart"/>
      <w:r w:rsidRPr="00543FEA">
        <w:rPr>
          <w:sz w:val="20"/>
        </w:rPr>
        <w:t>InterVarsity</w:t>
      </w:r>
      <w:proofErr w:type="spellEnd"/>
      <w:r w:rsidRPr="00543FEA">
        <w:rPr>
          <w:sz w:val="20"/>
        </w:rPr>
        <w:t xml:space="preserve"> Press, 2008)</w:t>
      </w:r>
      <w:r>
        <w:rPr>
          <w:sz w:val="20"/>
        </w:rPr>
        <w:t>,</w:t>
      </w:r>
      <w:r w:rsidRPr="00543FEA">
        <w:rPr>
          <w:sz w:val="20"/>
        </w:rPr>
        <w:t>164.</w:t>
      </w:r>
    </w:p>
  </w:footnote>
  <w:footnote w:id="31">
    <w:p w14:paraId="61EEEBB2" w14:textId="27DFCB22" w:rsidR="009C2066" w:rsidRPr="00543FEA" w:rsidRDefault="009C2066" w:rsidP="00A719CF">
      <w:pPr>
        <w:pStyle w:val="JTTEndnote"/>
        <w:spacing w:line="360" w:lineRule="auto"/>
        <w:rPr>
          <w:sz w:val="20"/>
        </w:rPr>
      </w:pPr>
      <w:r w:rsidRPr="00543FEA">
        <w:rPr>
          <w:rStyle w:val="FootnoteReference"/>
          <w:sz w:val="20"/>
        </w:rPr>
        <w:footnoteRef/>
      </w:r>
      <w:r w:rsidRPr="00543FEA">
        <w:rPr>
          <w:sz w:val="20"/>
        </w:rPr>
        <w:t xml:space="preserve">  Breed, "Finding Guidelines on Social Change," 4; David G. Peterson, </w:t>
      </w:r>
      <w:r w:rsidRPr="00543FEA">
        <w:rPr>
          <w:i/>
          <w:sz w:val="20"/>
        </w:rPr>
        <w:t>The Acts of the Apostles</w:t>
      </w:r>
      <w:r w:rsidRPr="00543FEA">
        <w:rPr>
          <w:sz w:val="20"/>
        </w:rPr>
        <w:t xml:space="preserve"> (Grand Rapids: Eerdmans, 2009)</w:t>
      </w:r>
      <w:r>
        <w:rPr>
          <w:sz w:val="20"/>
        </w:rPr>
        <w:t>,</w:t>
      </w:r>
      <w:r w:rsidRPr="00543FEA">
        <w:rPr>
          <w:sz w:val="20"/>
        </w:rPr>
        <w:t xml:space="preserve"> 59.</w:t>
      </w:r>
    </w:p>
  </w:footnote>
  <w:footnote w:id="32">
    <w:p w14:paraId="7851D0B3" w14:textId="4F80A607" w:rsidR="009C2066" w:rsidRPr="00543FEA" w:rsidRDefault="009C2066" w:rsidP="00A719CF">
      <w:pPr>
        <w:pStyle w:val="JTTEndnote"/>
        <w:spacing w:line="360" w:lineRule="auto"/>
        <w:rPr>
          <w:sz w:val="20"/>
        </w:rPr>
      </w:pPr>
      <w:r w:rsidRPr="00543FEA">
        <w:rPr>
          <w:rStyle w:val="FootnoteReference"/>
          <w:sz w:val="20"/>
        </w:rPr>
        <w:footnoteRef/>
      </w:r>
      <w:r w:rsidRPr="00543FEA">
        <w:rPr>
          <w:sz w:val="20"/>
        </w:rPr>
        <w:t xml:space="preserve"> Craig R. Koester, </w:t>
      </w:r>
      <w:r w:rsidRPr="00543FEA">
        <w:rPr>
          <w:i/>
          <w:sz w:val="20"/>
        </w:rPr>
        <w:t>The Word of Life: A Theology of John’s Gospel</w:t>
      </w:r>
      <w:r w:rsidRPr="00543FEA">
        <w:rPr>
          <w:sz w:val="20"/>
        </w:rPr>
        <w:t xml:space="preserve"> (Grand Rapids: Eerdmans, 2008)</w:t>
      </w:r>
      <w:r>
        <w:rPr>
          <w:sz w:val="20"/>
        </w:rPr>
        <w:t>,</w:t>
      </w:r>
      <w:r w:rsidRPr="00543FEA">
        <w:rPr>
          <w:sz w:val="20"/>
        </w:rPr>
        <w:t xml:space="preserve"> 129, 130.</w:t>
      </w:r>
    </w:p>
  </w:footnote>
  <w:footnote w:id="33">
    <w:p w14:paraId="461098F2" w14:textId="7BCD5B77" w:rsidR="009C2066" w:rsidRPr="00543FEA" w:rsidRDefault="009C2066" w:rsidP="00543FEA">
      <w:pPr>
        <w:pStyle w:val="JTTEndnote"/>
        <w:spacing w:line="360" w:lineRule="auto"/>
        <w:rPr>
          <w:sz w:val="20"/>
        </w:rPr>
      </w:pPr>
      <w:r w:rsidRPr="00543FEA">
        <w:rPr>
          <w:rStyle w:val="FootnoteReference"/>
          <w:sz w:val="20"/>
        </w:rPr>
        <w:footnoteRef/>
      </w:r>
      <w:r w:rsidRPr="00543FEA">
        <w:rPr>
          <w:sz w:val="20"/>
        </w:rPr>
        <w:t xml:space="preserve">  Breed, "Finding Guidelines on Social Change," 6; Bruner, </w:t>
      </w:r>
      <w:r w:rsidRPr="00543FEA">
        <w:rPr>
          <w:i/>
          <w:iCs/>
          <w:sz w:val="20"/>
        </w:rPr>
        <w:t>The Gospel of John</w:t>
      </w:r>
      <w:r w:rsidRPr="00543FEA">
        <w:rPr>
          <w:sz w:val="20"/>
        </w:rPr>
        <w:t xml:space="preserve">, 741; </w:t>
      </w:r>
      <w:r w:rsidRPr="00543FEA">
        <w:rPr>
          <w:color w:val="000000"/>
          <w:sz w:val="20"/>
        </w:rPr>
        <w:t xml:space="preserve">Dirk G. Van der Merwe, "Towards a Theological Understanding of Johannine Discipleship," </w:t>
      </w:r>
      <w:proofErr w:type="spellStart"/>
      <w:r w:rsidRPr="00543FEA">
        <w:rPr>
          <w:i/>
          <w:color w:val="000000"/>
          <w:sz w:val="20"/>
        </w:rPr>
        <w:t>Neotestamentica</w:t>
      </w:r>
      <w:proofErr w:type="spellEnd"/>
      <w:r w:rsidRPr="00543FEA">
        <w:rPr>
          <w:color w:val="000000"/>
          <w:sz w:val="20"/>
        </w:rPr>
        <w:t xml:space="preserve"> 31, no. 2 (1997): 343; </w:t>
      </w:r>
      <w:r w:rsidRPr="00543FEA">
        <w:rPr>
          <w:sz w:val="20"/>
        </w:rPr>
        <w:t xml:space="preserve">J.A. Du Rand, "Perspectives on Johannine Discipleship According to the Farewell Discourses," </w:t>
      </w:r>
      <w:proofErr w:type="spellStart"/>
      <w:r w:rsidRPr="00543FEA">
        <w:rPr>
          <w:i/>
          <w:sz w:val="20"/>
        </w:rPr>
        <w:t>Neotestamentica</w:t>
      </w:r>
      <w:proofErr w:type="spellEnd"/>
      <w:r w:rsidRPr="00543FEA">
        <w:rPr>
          <w:sz w:val="20"/>
        </w:rPr>
        <w:t xml:space="preserve"> 25, no. 2 (1991): 318.</w:t>
      </w:r>
    </w:p>
  </w:footnote>
  <w:footnote w:id="34">
    <w:p w14:paraId="1E56A46E" w14:textId="6974C6DF" w:rsidR="009C2066" w:rsidRPr="00256BDA" w:rsidRDefault="009C2066" w:rsidP="00543FEA">
      <w:pPr>
        <w:pStyle w:val="JTTEndnote"/>
        <w:spacing w:line="360" w:lineRule="auto"/>
      </w:pPr>
      <w:r w:rsidRPr="00543FEA">
        <w:rPr>
          <w:rStyle w:val="FootnoteReference"/>
          <w:sz w:val="20"/>
        </w:rPr>
        <w:footnoteRef/>
      </w:r>
      <w:r w:rsidRPr="00543FEA">
        <w:rPr>
          <w:sz w:val="20"/>
        </w:rPr>
        <w:t xml:space="preserve">  Paul N. Anderson, "The Having-Sent-Me Father: Aspects of Agency, Encounter, and Irony in the Johannine Father-Son Relationship," </w:t>
      </w:r>
      <w:proofErr w:type="spellStart"/>
      <w:r w:rsidRPr="00543FEA">
        <w:rPr>
          <w:i/>
          <w:sz w:val="20"/>
        </w:rPr>
        <w:t>Semeia</w:t>
      </w:r>
      <w:proofErr w:type="spellEnd"/>
      <w:r w:rsidRPr="00543FEA">
        <w:rPr>
          <w:sz w:val="20"/>
        </w:rPr>
        <w:t xml:space="preserve"> 85 (1999): 42;</w:t>
      </w:r>
      <w:r w:rsidRPr="00543FEA">
        <w:rPr>
          <w:rStyle w:val="FootnoteReference"/>
          <w:rFonts w:ascii="Arial" w:hAnsi="Arial"/>
          <w:sz w:val="20"/>
          <w:lang w:val="en-ZA"/>
        </w:rPr>
        <w:t xml:space="preserve"> </w:t>
      </w:r>
      <w:r w:rsidRPr="00543FEA">
        <w:rPr>
          <w:sz w:val="20"/>
        </w:rPr>
        <w:t xml:space="preserve">J. Van der Watt, "Johannine Style: Some Initial Remarks on the Functional Use of Repetition in the Gospel According to John," </w:t>
      </w:r>
      <w:r w:rsidRPr="00543FEA">
        <w:rPr>
          <w:i/>
          <w:sz w:val="20"/>
        </w:rPr>
        <w:t xml:space="preserve">In die </w:t>
      </w:r>
      <w:proofErr w:type="spellStart"/>
      <w:r w:rsidRPr="00543FEA">
        <w:rPr>
          <w:i/>
          <w:sz w:val="20"/>
        </w:rPr>
        <w:t>Skriflig</w:t>
      </w:r>
      <w:proofErr w:type="spellEnd"/>
      <w:r w:rsidRPr="00543FEA">
        <w:rPr>
          <w:i/>
          <w:sz w:val="20"/>
        </w:rPr>
        <w:t xml:space="preserve"> </w:t>
      </w:r>
      <w:r w:rsidRPr="00543FEA">
        <w:rPr>
          <w:iCs/>
          <w:sz w:val="20"/>
        </w:rPr>
        <w:t>42,</w:t>
      </w:r>
      <w:r w:rsidRPr="00543FEA">
        <w:rPr>
          <w:sz w:val="20"/>
        </w:rPr>
        <w:t xml:space="preserve"> no. 1 (July 2008): 91.</w:t>
      </w:r>
    </w:p>
  </w:footnote>
  <w:footnote w:id="35">
    <w:p w14:paraId="3FA9B7B2" w14:textId="5A174B58" w:rsidR="009C2066" w:rsidRPr="00543FEA" w:rsidRDefault="009C2066" w:rsidP="00A719CF">
      <w:pPr>
        <w:pStyle w:val="JTTEndnote"/>
        <w:spacing w:line="360" w:lineRule="auto"/>
        <w:rPr>
          <w:sz w:val="20"/>
        </w:rPr>
      </w:pPr>
      <w:r w:rsidRPr="00543FEA">
        <w:rPr>
          <w:rStyle w:val="FootnoteReference"/>
          <w:sz w:val="20"/>
        </w:rPr>
        <w:footnoteRef/>
      </w:r>
      <w:r w:rsidRPr="00543FEA">
        <w:rPr>
          <w:sz w:val="20"/>
        </w:rPr>
        <w:t xml:space="preserve"> John MacArthur, </w:t>
      </w:r>
      <w:r w:rsidRPr="00543FEA">
        <w:rPr>
          <w:i/>
          <w:sz w:val="20"/>
        </w:rPr>
        <w:t>Hard to Believe: The High Cost and Infinite Value of Following Jesus</w:t>
      </w:r>
      <w:r w:rsidRPr="00543FEA">
        <w:rPr>
          <w:sz w:val="20"/>
        </w:rPr>
        <w:t xml:space="preserve"> (Nashville: Thomas Nelson, 2005)</w:t>
      </w:r>
      <w:r>
        <w:rPr>
          <w:sz w:val="20"/>
        </w:rPr>
        <w:t>,</w:t>
      </w:r>
      <w:r w:rsidRPr="00543FEA">
        <w:rPr>
          <w:sz w:val="20"/>
        </w:rPr>
        <w:t xml:space="preserve"> 11; </w:t>
      </w:r>
      <w:r w:rsidRPr="00543FEA">
        <w:rPr>
          <w:sz w:val="20"/>
          <w:lang w:val="en-ZA"/>
        </w:rPr>
        <w:t>John Christopher</w:t>
      </w:r>
      <w:r w:rsidRPr="00543FEA">
        <w:rPr>
          <w:sz w:val="20"/>
        </w:rPr>
        <w:t xml:space="preserve"> Thomas, </w:t>
      </w:r>
      <w:proofErr w:type="spellStart"/>
      <w:r w:rsidRPr="00543FEA">
        <w:rPr>
          <w:i/>
          <w:sz w:val="20"/>
        </w:rPr>
        <w:t>Footwashing</w:t>
      </w:r>
      <w:proofErr w:type="spellEnd"/>
      <w:r w:rsidRPr="00543FEA">
        <w:rPr>
          <w:i/>
          <w:sz w:val="20"/>
        </w:rPr>
        <w:t xml:space="preserve"> in John 13 and the Johannine Community</w:t>
      </w:r>
      <w:r w:rsidRPr="00543FEA">
        <w:rPr>
          <w:sz w:val="20"/>
        </w:rPr>
        <w:t xml:space="preserve"> (London: T&amp;T Clark, 2004)</w:t>
      </w:r>
      <w:r>
        <w:rPr>
          <w:sz w:val="20"/>
        </w:rPr>
        <w:t>,</w:t>
      </w:r>
      <w:r w:rsidRPr="00543FEA">
        <w:rPr>
          <w:sz w:val="20"/>
        </w:rPr>
        <w:t xml:space="preserve"> 80; Van der Watt, "Johannine Style,” 89; Urban C. von </w:t>
      </w:r>
      <w:proofErr w:type="spellStart"/>
      <w:r w:rsidRPr="00543FEA">
        <w:rPr>
          <w:sz w:val="20"/>
        </w:rPr>
        <w:t>Wahlde</w:t>
      </w:r>
      <w:proofErr w:type="spellEnd"/>
      <w:r w:rsidRPr="00543FEA">
        <w:rPr>
          <w:sz w:val="20"/>
        </w:rPr>
        <w:t xml:space="preserve">, </w:t>
      </w:r>
      <w:r w:rsidRPr="00543FEA">
        <w:rPr>
          <w:i/>
          <w:sz w:val="20"/>
        </w:rPr>
        <w:t>The Gospel and letters of John, vol. 2: Commentary on the Gospel of John</w:t>
      </w:r>
      <w:r w:rsidRPr="00543FEA">
        <w:rPr>
          <w:sz w:val="20"/>
        </w:rPr>
        <w:t xml:space="preserve"> (Grand Rapids: Eerdmans, 2010)</w:t>
      </w:r>
      <w:r>
        <w:rPr>
          <w:sz w:val="20"/>
        </w:rPr>
        <w:t>,</w:t>
      </w:r>
      <w:r w:rsidRPr="00543FEA">
        <w:rPr>
          <w:sz w:val="20"/>
        </w:rPr>
        <w:t xml:space="preserve"> 555.</w:t>
      </w:r>
    </w:p>
  </w:footnote>
  <w:footnote w:id="36">
    <w:p w14:paraId="355068B8" w14:textId="6E3E937F" w:rsidR="009C2066" w:rsidRPr="00543FEA" w:rsidRDefault="009C2066" w:rsidP="00543FEA">
      <w:pPr>
        <w:pStyle w:val="JTTEndnote"/>
        <w:spacing w:line="360" w:lineRule="auto"/>
        <w:rPr>
          <w:sz w:val="20"/>
          <w:lang w:val="nl-NL"/>
        </w:rPr>
      </w:pPr>
      <w:r w:rsidRPr="00543FEA">
        <w:rPr>
          <w:rStyle w:val="FootnoteReference"/>
          <w:sz w:val="20"/>
        </w:rPr>
        <w:footnoteRef/>
      </w:r>
      <w:r w:rsidRPr="00543FEA">
        <w:rPr>
          <w:sz w:val="20"/>
          <w:lang w:val="nl-NL"/>
        </w:rPr>
        <w:t xml:space="preserve"> </w:t>
      </w:r>
      <w:r w:rsidRPr="00543FEA">
        <w:rPr>
          <w:sz w:val="20"/>
          <w:lang w:val="nl-NL"/>
        </w:rPr>
        <w:t>Van der Watt, "Johannine Style,” 94.</w:t>
      </w:r>
    </w:p>
  </w:footnote>
  <w:footnote w:id="37">
    <w:p w14:paraId="236A732A" w14:textId="2D75E78F" w:rsidR="009C2066" w:rsidRPr="00543FEA" w:rsidRDefault="009C2066" w:rsidP="00543FEA">
      <w:pPr>
        <w:pStyle w:val="JTTEndnote"/>
        <w:spacing w:line="360" w:lineRule="auto"/>
        <w:rPr>
          <w:sz w:val="20"/>
          <w:lang w:val="nl-NL"/>
        </w:rPr>
      </w:pPr>
      <w:r w:rsidRPr="00543FEA">
        <w:rPr>
          <w:rStyle w:val="FootnoteReference"/>
          <w:sz w:val="20"/>
        </w:rPr>
        <w:footnoteRef/>
      </w:r>
      <w:r w:rsidRPr="00543FEA">
        <w:rPr>
          <w:sz w:val="20"/>
          <w:lang w:val="nl-NL"/>
        </w:rPr>
        <w:t xml:space="preserve">  </w:t>
      </w:r>
      <w:r w:rsidRPr="00543FEA">
        <w:rPr>
          <w:sz w:val="20"/>
          <w:lang w:val="nl-NL"/>
        </w:rPr>
        <w:t xml:space="preserve">Breed, </w:t>
      </w:r>
      <w:r w:rsidRPr="00543FEA">
        <w:rPr>
          <w:sz w:val="20"/>
          <w:lang w:val="nl-NL"/>
        </w:rPr>
        <w:t xml:space="preserve">"’n Kritiese Blik op </w:t>
      </w:r>
      <w:r w:rsidRPr="00A719CF">
        <w:rPr>
          <w:i/>
          <w:iCs/>
          <w:sz w:val="20"/>
          <w:lang w:val="nl-NL"/>
        </w:rPr>
        <w:t>Missio Dei</w:t>
      </w:r>
      <w:r w:rsidRPr="00543FEA">
        <w:rPr>
          <w:sz w:val="20"/>
          <w:lang w:val="nl-NL"/>
        </w:rPr>
        <w:t xml:space="preserve"> in die Lig van Efesiërs," 4.</w:t>
      </w:r>
    </w:p>
  </w:footnote>
  <w:footnote w:id="38">
    <w:p w14:paraId="24E5FCEC" w14:textId="4AB254B9" w:rsidR="009C2066" w:rsidRPr="00543FEA" w:rsidRDefault="009C2066" w:rsidP="00A719CF">
      <w:pPr>
        <w:pStyle w:val="JTTEndnote"/>
        <w:spacing w:line="360" w:lineRule="auto"/>
        <w:rPr>
          <w:sz w:val="20"/>
        </w:rPr>
      </w:pPr>
      <w:r w:rsidRPr="00543FEA">
        <w:rPr>
          <w:rStyle w:val="FootnoteReference"/>
          <w:sz w:val="20"/>
        </w:rPr>
        <w:footnoteRef/>
      </w:r>
      <w:r w:rsidRPr="00543FEA">
        <w:rPr>
          <w:sz w:val="20"/>
        </w:rPr>
        <w:t xml:space="preserve">  Jerome H. </w:t>
      </w:r>
      <w:proofErr w:type="spellStart"/>
      <w:r w:rsidRPr="00543FEA">
        <w:rPr>
          <w:sz w:val="20"/>
        </w:rPr>
        <w:t>Neyrey</w:t>
      </w:r>
      <w:proofErr w:type="spellEnd"/>
      <w:r w:rsidRPr="00543FEA">
        <w:rPr>
          <w:sz w:val="20"/>
        </w:rPr>
        <w:t xml:space="preserve">, </w:t>
      </w:r>
      <w:r w:rsidRPr="00543FEA">
        <w:rPr>
          <w:i/>
          <w:sz w:val="20"/>
        </w:rPr>
        <w:t>The Gospel of John</w:t>
      </w:r>
      <w:r w:rsidRPr="00543FEA">
        <w:rPr>
          <w:sz w:val="20"/>
        </w:rPr>
        <w:t xml:space="preserve"> (New York: Cambridge University Press, 2007)</w:t>
      </w:r>
      <w:r>
        <w:rPr>
          <w:sz w:val="20"/>
        </w:rPr>
        <w:t>,</w:t>
      </w:r>
      <w:r w:rsidRPr="00543FEA">
        <w:rPr>
          <w:sz w:val="20"/>
        </w:rPr>
        <w:t xml:space="preserve"> 214.</w:t>
      </w:r>
    </w:p>
  </w:footnote>
  <w:footnote w:id="39">
    <w:p w14:paraId="645B3052" w14:textId="36690A4F" w:rsidR="009C2066" w:rsidRPr="00543FEA" w:rsidRDefault="009C2066" w:rsidP="00A719CF">
      <w:pPr>
        <w:pStyle w:val="JTTEndnote"/>
        <w:spacing w:line="360" w:lineRule="auto"/>
        <w:rPr>
          <w:sz w:val="20"/>
        </w:rPr>
      </w:pPr>
      <w:r w:rsidRPr="00543FEA">
        <w:rPr>
          <w:rStyle w:val="FootnoteReference"/>
          <w:sz w:val="20"/>
        </w:rPr>
        <w:footnoteRef/>
      </w:r>
      <w:r w:rsidRPr="00543FEA">
        <w:rPr>
          <w:sz w:val="20"/>
        </w:rPr>
        <w:t xml:space="preserve">  Gert Breed, </w:t>
      </w:r>
      <w:proofErr w:type="spellStart"/>
      <w:r w:rsidRPr="00543FEA">
        <w:rPr>
          <w:sz w:val="20"/>
        </w:rPr>
        <w:t>Diakonia</w:t>
      </w:r>
      <w:proofErr w:type="spellEnd"/>
      <w:r w:rsidRPr="00543FEA">
        <w:rPr>
          <w:sz w:val="20"/>
        </w:rPr>
        <w:t xml:space="preserve">: In conversation with John N Collins, </w:t>
      </w:r>
      <w:r w:rsidRPr="00543FEA">
        <w:rPr>
          <w:i/>
          <w:sz w:val="20"/>
        </w:rPr>
        <w:t>Ecclesiology</w:t>
      </w:r>
      <w:r w:rsidRPr="00543FEA">
        <w:rPr>
          <w:sz w:val="20"/>
        </w:rPr>
        <w:t xml:space="preserve"> 13, no 3 (2017): 349–368; see also Marie Noonan Sabin, </w:t>
      </w:r>
      <w:r w:rsidRPr="00543FEA">
        <w:rPr>
          <w:i/>
          <w:sz w:val="20"/>
        </w:rPr>
        <w:t>The Gospel According to Mark</w:t>
      </w:r>
      <w:r w:rsidRPr="00543FEA">
        <w:rPr>
          <w:sz w:val="20"/>
        </w:rPr>
        <w:t xml:space="preserve"> (Collegeville: Liturgical Press, 2005)</w:t>
      </w:r>
      <w:r>
        <w:rPr>
          <w:sz w:val="20"/>
        </w:rPr>
        <w:t>,</w:t>
      </w:r>
      <w:r w:rsidRPr="00543FEA">
        <w:rPr>
          <w:sz w:val="20"/>
        </w:rPr>
        <w:t xml:space="preserve"> 87–89.</w:t>
      </w:r>
    </w:p>
  </w:footnote>
  <w:footnote w:id="40">
    <w:p w14:paraId="208546CC" w14:textId="2131C605" w:rsidR="009C2066" w:rsidRPr="00543FEA" w:rsidRDefault="009C2066" w:rsidP="00543FEA">
      <w:pPr>
        <w:pStyle w:val="JTTEndnote"/>
        <w:spacing w:line="360" w:lineRule="auto"/>
        <w:rPr>
          <w:sz w:val="20"/>
        </w:rPr>
      </w:pPr>
      <w:r w:rsidRPr="00543FEA">
        <w:rPr>
          <w:rStyle w:val="FootnoteReference"/>
          <w:sz w:val="20"/>
        </w:rPr>
        <w:footnoteRef/>
      </w:r>
      <w:r w:rsidRPr="00543FEA">
        <w:rPr>
          <w:sz w:val="20"/>
        </w:rPr>
        <w:t xml:space="preserve"> Ibid., 358.</w:t>
      </w:r>
    </w:p>
  </w:footnote>
  <w:footnote w:id="41">
    <w:p w14:paraId="5661FBD3" w14:textId="76BD4F03" w:rsidR="009C2066" w:rsidRPr="00543FEA" w:rsidRDefault="009C2066" w:rsidP="00A719CF">
      <w:pPr>
        <w:pStyle w:val="JTTEndnote"/>
        <w:spacing w:line="360" w:lineRule="auto"/>
        <w:rPr>
          <w:color w:val="auto"/>
          <w:sz w:val="20"/>
          <w:lang w:val="en-ZA"/>
        </w:rPr>
      </w:pPr>
      <w:r w:rsidRPr="00543FEA">
        <w:rPr>
          <w:rStyle w:val="FootnoteReference"/>
          <w:sz w:val="20"/>
        </w:rPr>
        <w:footnoteRef/>
      </w:r>
      <w:r w:rsidRPr="00543FEA">
        <w:rPr>
          <w:sz w:val="20"/>
        </w:rPr>
        <w:t xml:space="preserve"> M. Wilcox, "On the Ransom Saying in Mark 10:45c, Matthew 20:28c," in </w:t>
      </w:r>
      <w:r w:rsidRPr="00543FEA">
        <w:rPr>
          <w:i/>
          <w:sz w:val="20"/>
        </w:rPr>
        <w:t xml:space="preserve">Geschichte, Tradition, Reflexion: Festschrift </w:t>
      </w:r>
      <w:proofErr w:type="spellStart"/>
      <w:r w:rsidRPr="00543FEA">
        <w:rPr>
          <w:i/>
          <w:sz w:val="20"/>
        </w:rPr>
        <w:t>für</w:t>
      </w:r>
      <w:proofErr w:type="spellEnd"/>
      <w:r w:rsidRPr="00543FEA">
        <w:rPr>
          <w:i/>
          <w:sz w:val="20"/>
        </w:rPr>
        <w:t xml:space="preserve"> Martin </w:t>
      </w:r>
      <w:proofErr w:type="spellStart"/>
      <w:r w:rsidRPr="00543FEA">
        <w:rPr>
          <w:i/>
          <w:sz w:val="20"/>
        </w:rPr>
        <w:t>Hengel</w:t>
      </w:r>
      <w:proofErr w:type="spellEnd"/>
      <w:r w:rsidRPr="00543FEA">
        <w:rPr>
          <w:i/>
          <w:sz w:val="20"/>
        </w:rPr>
        <w:t xml:space="preserve"> </w:t>
      </w:r>
      <w:proofErr w:type="spellStart"/>
      <w:r w:rsidRPr="00543FEA">
        <w:rPr>
          <w:i/>
          <w:sz w:val="20"/>
        </w:rPr>
        <w:t>zum</w:t>
      </w:r>
      <w:proofErr w:type="spellEnd"/>
      <w:r w:rsidRPr="00543FEA">
        <w:rPr>
          <w:i/>
          <w:sz w:val="20"/>
        </w:rPr>
        <w:t xml:space="preserve"> 70 </w:t>
      </w:r>
      <w:proofErr w:type="spellStart"/>
      <w:r w:rsidRPr="00543FEA">
        <w:rPr>
          <w:i/>
          <w:sz w:val="20"/>
        </w:rPr>
        <w:t>Geburstag</w:t>
      </w:r>
      <w:proofErr w:type="spellEnd"/>
      <w:r w:rsidRPr="00543FEA">
        <w:rPr>
          <w:sz w:val="20"/>
        </w:rPr>
        <w:t xml:space="preserve">, </w:t>
      </w:r>
      <w:proofErr w:type="spellStart"/>
      <w:r w:rsidRPr="00543FEA">
        <w:rPr>
          <w:sz w:val="20"/>
        </w:rPr>
        <w:t>hrsg</w:t>
      </w:r>
      <w:proofErr w:type="spellEnd"/>
      <w:r w:rsidRPr="00543FEA">
        <w:rPr>
          <w:sz w:val="20"/>
        </w:rPr>
        <w:t xml:space="preserve">. </w:t>
      </w:r>
      <w:r w:rsidRPr="00543FEA">
        <w:rPr>
          <w:sz w:val="20"/>
          <w:lang w:val="en-ZA"/>
        </w:rPr>
        <w:t>H. Lichtenberger (</w:t>
      </w:r>
      <w:proofErr w:type="spellStart"/>
      <w:r w:rsidRPr="00543FEA">
        <w:rPr>
          <w:sz w:val="20"/>
          <w:lang w:val="en-ZA"/>
        </w:rPr>
        <w:t>Tübingen</w:t>
      </w:r>
      <w:proofErr w:type="spellEnd"/>
      <w:r w:rsidRPr="00543FEA">
        <w:rPr>
          <w:sz w:val="20"/>
          <w:lang w:val="en-ZA"/>
        </w:rPr>
        <w:t xml:space="preserve">: Mohr </w:t>
      </w:r>
      <w:proofErr w:type="spellStart"/>
      <w:r w:rsidRPr="00543FEA">
        <w:rPr>
          <w:sz w:val="20"/>
          <w:lang w:val="en-ZA"/>
        </w:rPr>
        <w:t>Siebeck</w:t>
      </w:r>
      <w:proofErr w:type="spellEnd"/>
      <w:r w:rsidRPr="00543FEA">
        <w:rPr>
          <w:sz w:val="20"/>
          <w:lang w:val="en-ZA"/>
        </w:rPr>
        <w:t>, 1996)</w:t>
      </w:r>
      <w:r>
        <w:rPr>
          <w:sz w:val="20"/>
          <w:lang w:val="en-ZA"/>
        </w:rPr>
        <w:t>,</w:t>
      </w:r>
      <w:r w:rsidRPr="00543FEA">
        <w:rPr>
          <w:sz w:val="20"/>
          <w:lang w:val="en-ZA"/>
        </w:rPr>
        <w:t xml:space="preserve"> </w:t>
      </w:r>
      <w:proofErr w:type="gramStart"/>
      <w:r w:rsidRPr="00543FEA">
        <w:rPr>
          <w:sz w:val="20"/>
          <w:lang w:val="en-ZA"/>
        </w:rPr>
        <w:t>175.</w:t>
      </w:r>
      <w:r w:rsidRPr="00543FEA">
        <w:rPr>
          <w:color w:val="FFFFFF" w:themeColor="background1"/>
          <w:sz w:val="20"/>
          <w:lang w:val="de-DE"/>
        </w:rPr>
        <w:t>.</w:t>
      </w:r>
      <w:proofErr w:type="gramEnd"/>
    </w:p>
  </w:footnote>
  <w:footnote w:id="42">
    <w:p w14:paraId="44D14664" w14:textId="578D2FE2" w:rsidR="009C2066" w:rsidRPr="00543FEA" w:rsidRDefault="009C2066" w:rsidP="00A719CF">
      <w:pPr>
        <w:pStyle w:val="JTTEndnote"/>
        <w:spacing w:line="360" w:lineRule="auto"/>
        <w:rPr>
          <w:rFonts w:cs="Times New Roman"/>
          <w:sz w:val="20"/>
        </w:rPr>
      </w:pPr>
      <w:r w:rsidRPr="00543FEA">
        <w:rPr>
          <w:rStyle w:val="FootnoteReference"/>
          <w:rFonts w:cs="Times New Roman"/>
          <w:sz w:val="20"/>
        </w:rPr>
        <w:footnoteRef/>
      </w:r>
      <w:r w:rsidRPr="00543FEA">
        <w:rPr>
          <w:rFonts w:cs="Times New Roman"/>
          <w:sz w:val="20"/>
        </w:rPr>
        <w:t xml:space="preserve">  Alberto de Mingo </w:t>
      </w:r>
      <w:proofErr w:type="spellStart"/>
      <w:r w:rsidRPr="00543FEA">
        <w:rPr>
          <w:rFonts w:cs="Times New Roman"/>
          <w:sz w:val="20"/>
        </w:rPr>
        <w:t>Kaminouchi</w:t>
      </w:r>
      <w:proofErr w:type="spellEnd"/>
      <w:r w:rsidRPr="00543FEA">
        <w:rPr>
          <w:rFonts w:cs="Times New Roman"/>
          <w:sz w:val="20"/>
        </w:rPr>
        <w:t xml:space="preserve">, </w:t>
      </w:r>
      <w:proofErr w:type="gramStart"/>
      <w:r w:rsidRPr="00543FEA">
        <w:rPr>
          <w:rFonts w:cs="Times New Roman"/>
          <w:i/>
          <w:sz w:val="20"/>
        </w:rPr>
        <w:t>But</w:t>
      </w:r>
      <w:proofErr w:type="gramEnd"/>
      <w:r w:rsidRPr="00543FEA">
        <w:rPr>
          <w:rFonts w:cs="Times New Roman"/>
          <w:i/>
          <w:sz w:val="20"/>
        </w:rPr>
        <w:t xml:space="preserve"> it is Not So Among You: Echoes of Power in Mark</w:t>
      </w:r>
      <w:r w:rsidRPr="00543FEA">
        <w:rPr>
          <w:rFonts w:cs="Times New Roman"/>
          <w:sz w:val="20"/>
        </w:rPr>
        <w:t xml:space="preserve"> 10.32–45 (New York: T&amp;T Clark, 2003)</w:t>
      </w:r>
      <w:r>
        <w:rPr>
          <w:rFonts w:cs="Times New Roman"/>
          <w:sz w:val="20"/>
        </w:rPr>
        <w:t>,</w:t>
      </w:r>
      <w:r w:rsidRPr="00543FEA">
        <w:rPr>
          <w:rFonts w:cs="Times New Roman"/>
          <w:sz w:val="20"/>
        </w:rPr>
        <w:t xml:space="preserve"> 206.</w:t>
      </w:r>
    </w:p>
  </w:footnote>
  <w:footnote w:id="43">
    <w:p w14:paraId="69F03DB0" w14:textId="6884A0A5" w:rsidR="009C2066" w:rsidRPr="00543FEA" w:rsidRDefault="009C2066" w:rsidP="00543FEA">
      <w:pPr>
        <w:pStyle w:val="JTTEndnote"/>
        <w:spacing w:line="360" w:lineRule="auto"/>
        <w:rPr>
          <w:rFonts w:cs="Times New Roman"/>
          <w:sz w:val="20"/>
        </w:rPr>
      </w:pPr>
      <w:r w:rsidRPr="00543FEA">
        <w:rPr>
          <w:rStyle w:val="FootnoteReference"/>
          <w:rFonts w:cs="Times New Roman"/>
          <w:sz w:val="20"/>
        </w:rPr>
        <w:footnoteRef/>
      </w:r>
      <w:r w:rsidRPr="00543FEA">
        <w:rPr>
          <w:rFonts w:cs="Times New Roman"/>
          <w:sz w:val="20"/>
        </w:rPr>
        <w:t xml:space="preserve">  Breed, "The </w:t>
      </w:r>
      <w:proofErr w:type="spellStart"/>
      <w:r w:rsidRPr="00543FEA">
        <w:rPr>
          <w:rFonts w:cs="Times New Roman"/>
          <w:sz w:val="20"/>
        </w:rPr>
        <w:t>δι</w:t>
      </w:r>
      <w:proofErr w:type="spellEnd"/>
      <w:r w:rsidRPr="00543FEA">
        <w:rPr>
          <w:rFonts w:cs="Times New Roman"/>
          <w:sz w:val="20"/>
        </w:rPr>
        <w:t>ακονία of the Elder According to 1 Peter," 5.</w:t>
      </w:r>
    </w:p>
  </w:footnote>
  <w:footnote w:id="44">
    <w:p w14:paraId="791DD4EA" w14:textId="4B2BE322" w:rsidR="009C2066" w:rsidRPr="00543FEA" w:rsidRDefault="009C2066" w:rsidP="00543FEA">
      <w:pPr>
        <w:pStyle w:val="JTTEndnote"/>
        <w:spacing w:line="360" w:lineRule="auto"/>
        <w:rPr>
          <w:rFonts w:cs="Times New Roman"/>
          <w:sz w:val="20"/>
        </w:rPr>
      </w:pPr>
      <w:r w:rsidRPr="00543FEA">
        <w:rPr>
          <w:rStyle w:val="FootnoteReference"/>
          <w:rFonts w:cs="Times New Roman"/>
          <w:sz w:val="20"/>
        </w:rPr>
        <w:footnoteRef/>
      </w:r>
      <w:r w:rsidRPr="00543FEA">
        <w:rPr>
          <w:rFonts w:cs="Times New Roman"/>
          <w:sz w:val="20"/>
        </w:rPr>
        <w:t xml:space="preserve">  Stephen </w:t>
      </w:r>
      <w:proofErr w:type="spellStart"/>
      <w:r w:rsidRPr="00543FEA">
        <w:rPr>
          <w:rFonts w:cs="Times New Roman"/>
          <w:sz w:val="20"/>
        </w:rPr>
        <w:t>Ayodeji</w:t>
      </w:r>
      <w:proofErr w:type="spellEnd"/>
      <w:r w:rsidRPr="00543FEA">
        <w:rPr>
          <w:rFonts w:cs="Times New Roman"/>
          <w:sz w:val="20"/>
        </w:rPr>
        <w:t xml:space="preserve"> A. </w:t>
      </w:r>
      <w:proofErr w:type="spellStart"/>
      <w:r w:rsidRPr="00543FEA">
        <w:rPr>
          <w:rFonts w:cs="Times New Roman"/>
          <w:sz w:val="20"/>
        </w:rPr>
        <w:t>Fagbemi</w:t>
      </w:r>
      <w:proofErr w:type="spellEnd"/>
      <w:r w:rsidRPr="00543FEA">
        <w:rPr>
          <w:rFonts w:cs="Times New Roman"/>
          <w:sz w:val="20"/>
        </w:rPr>
        <w:t xml:space="preserve">, "Living for Christ in a Hostile World: The Christian Identity and its Present Challenges in 1 Peter," </w:t>
      </w:r>
      <w:r w:rsidRPr="00543FEA">
        <w:rPr>
          <w:rFonts w:cs="Times New Roman"/>
          <w:i/>
          <w:sz w:val="20"/>
        </w:rPr>
        <w:t xml:space="preserve">Transformation: An International Journal of Holistic Mission Studies </w:t>
      </w:r>
      <w:r w:rsidRPr="00543FEA">
        <w:rPr>
          <w:rFonts w:cs="Times New Roman"/>
          <w:sz w:val="20"/>
        </w:rPr>
        <w:t>26, no. 1 (January 2009): 1-12.</w:t>
      </w:r>
    </w:p>
  </w:footnote>
  <w:footnote w:id="45">
    <w:p w14:paraId="2144578C" w14:textId="5E72CC70" w:rsidR="009C2066" w:rsidRPr="00543FEA" w:rsidRDefault="009C2066" w:rsidP="00A719CF">
      <w:pPr>
        <w:pStyle w:val="JTTEndnote"/>
        <w:spacing w:line="360" w:lineRule="auto"/>
        <w:rPr>
          <w:rFonts w:cs="Times New Roman"/>
          <w:sz w:val="20"/>
        </w:rPr>
      </w:pPr>
      <w:r w:rsidRPr="00543FEA">
        <w:rPr>
          <w:rStyle w:val="FootnoteReference"/>
          <w:rFonts w:cs="Times New Roman"/>
          <w:sz w:val="20"/>
        </w:rPr>
        <w:footnoteRef/>
      </w:r>
      <w:r w:rsidRPr="00543FEA">
        <w:rPr>
          <w:rFonts w:cs="Times New Roman"/>
          <w:sz w:val="20"/>
        </w:rPr>
        <w:t xml:space="preserve">  Joel B. Green, </w:t>
      </w:r>
      <w:r w:rsidRPr="00543FEA">
        <w:rPr>
          <w:rFonts w:cs="Times New Roman"/>
          <w:i/>
          <w:sz w:val="20"/>
        </w:rPr>
        <w:t>1 Peter</w:t>
      </w:r>
      <w:r w:rsidRPr="00543FEA">
        <w:rPr>
          <w:rFonts w:cs="Times New Roman"/>
          <w:sz w:val="20"/>
        </w:rPr>
        <w:t xml:space="preserve"> (Grand Rapids: Eerdmans, 2007)</w:t>
      </w:r>
      <w:r>
        <w:rPr>
          <w:rFonts w:cs="Times New Roman"/>
          <w:sz w:val="20"/>
        </w:rPr>
        <w:t>,</w:t>
      </w:r>
      <w:r w:rsidRPr="00543FEA">
        <w:rPr>
          <w:rFonts w:cs="Times New Roman"/>
          <w:sz w:val="20"/>
        </w:rPr>
        <w:t xml:space="preserve"> 145, 146.</w:t>
      </w:r>
    </w:p>
  </w:footnote>
  <w:footnote w:id="46">
    <w:p w14:paraId="4FE36C16" w14:textId="7519CEA2" w:rsidR="009C2066" w:rsidRPr="00543FEA" w:rsidRDefault="009C2066" w:rsidP="00A719CF">
      <w:pPr>
        <w:pStyle w:val="JTTEndnote"/>
        <w:spacing w:line="360" w:lineRule="auto"/>
        <w:rPr>
          <w:rFonts w:cs="Times New Roman"/>
          <w:sz w:val="20"/>
        </w:rPr>
      </w:pPr>
      <w:r w:rsidRPr="00543FEA">
        <w:rPr>
          <w:rStyle w:val="FootnoteReference"/>
          <w:rFonts w:cs="Times New Roman"/>
          <w:sz w:val="20"/>
        </w:rPr>
        <w:footnoteRef/>
      </w:r>
      <w:r w:rsidRPr="00543FEA">
        <w:rPr>
          <w:rFonts w:cs="Times New Roman"/>
          <w:sz w:val="20"/>
        </w:rPr>
        <w:t xml:space="preserve"> James M. Hamilton Jr, </w:t>
      </w:r>
      <w:r w:rsidRPr="00543FEA">
        <w:rPr>
          <w:rFonts w:cs="Times New Roman"/>
          <w:i/>
          <w:iCs/>
          <w:sz w:val="20"/>
        </w:rPr>
        <w:t>God’s Glory in Salvation Through Judgement: A Biblical Theology</w:t>
      </w:r>
      <w:r w:rsidRPr="00543FEA">
        <w:rPr>
          <w:rFonts w:cs="Times New Roman"/>
          <w:sz w:val="20"/>
        </w:rPr>
        <w:t xml:space="preserve"> (Wheaton: Crossway, 2010)</w:t>
      </w:r>
      <w:r>
        <w:rPr>
          <w:rFonts w:cs="Times New Roman"/>
          <w:sz w:val="20"/>
        </w:rPr>
        <w:t>,</w:t>
      </w:r>
      <w:r w:rsidRPr="00543FEA">
        <w:rPr>
          <w:rFonts w:cs="Times New Roman"/>
          <w:sz w:val="20"/>
        </w:rPr>
        <w:t xml:space="preserve"> 523.</w:t>
      </w:r>
    </w:p>
  </w:footnote>
  <w:footnote w:id="47">
    <w:p w14:paraId="6FB0CBCC" w14:textId="42AC579D" w:rsidR="009C2066" w:rsidRPr="00F724C5" w:rsidRDefault="009C2066" w:rsidP="00543FEA">
      <w:pPr>
        <w:pStyle w:val="JTTEndnote"/>
        <w:spacing w:line="360" w:lineRule="auto"/>
      </w:pPr>
      <w:r w:rsidRPr="00543FEA">
        <w:rPr>
          <w:rStyle w:val="FootnoteReference"/>
          <w:sz w:val="20"/>
        </w:rPr>
        <w:footnoteRef/>
      </w:r>
      <w:r w:rsidRPr="00543FEA">
        <w:rPr>
          <w:sz w:val="20"/>
        </w:rPr>
        <w:t xml:space="preserve">  Breed, "The </w:t>
      </w:r>
      <w:proofErr w:type="spellStart"/>
      <w:r w:rsidRPr="00543FEA">
        <w:rPr>
          <w:sz w:val="20"/>
        </w:rPr>
        <w:t>δι</w:t>
      </w:r>
      <w:proofErr w:type="spellEnd"/>
      <w:r w:rsidRPr="00543FEA">
        <w:rPr>
          <w:sz w:val="20"/>
        </w:rPr>
        <w:t>ακονία of the Elder According to 1 Peter," 6.</w:t>
      </w:r>
    </w:p>
  </w:footnote>
  <w:footnote w:id="48">
    <w:p w14:paraId="3C7125CE" w14:textId="706E1948" w:rsidR="009C2066" w:rsidRPr="00D8605E" w:rsidRDefault="009C2066" w:rsidP="00D8605E">
      <w:pPr>
        <w:pStyle w:val="JTTEndnote"/>
        <w:spacing w:line="360" w:lineRule="auto"/>
        <w:rPr>
          <w:sz w:val="20"/>
        </w:rPr>
      </w:pPr>
      <w:r w:rsidRPr="00D8605E">
        <w:rPr>
          <w:rStyle w:val="FootnoteReference"/>
          <w:sz w:val="20"/>
        </w:rPr>
        <w:footnoteRef/>
      </w:r>
      <w:r w:rsidRPr="00D8605E">
        <w:rPr>
          <w:sz w:val="20"/>
        </w:rPr>
        <w:t xml:space="preserve">  Breed, "Welcoming Children to the </w:t>
      </w:r>
      <w:proofErr w:type="spellStart"/>
      <w:r w:rsidRPr="00D8605E">
        <w:rPr>
          <w:sz w:val="20"/>
        </w:rPr>
        <w:t>δι</w:t>
      </w:r>
      <w:proofErr w:type="spellEnd"/>
      <w:r w:rsidRPr="00D8605E">
        <w:rPr>
          <w:sz w:val="20"/>
        </w:rPr>
        <w:t>ακονία of the Congregation," 274–300.</w:t>
      </w:r>
    </w:p>
  </w:footnote>
  <w:footnote w:id="49">
    <w:p w14:paraId="3D8A1927" w14:textId="7A1916E8" w:rsidR="009C2066" w:rsidRPr="00D8605E" w:rsidRDefault="009C2066" w:rsidP="00A719CF">
      <w:pPr>
        <w:pStyle w:val="JTTEndnote"/>
        <w:spacing w:line="360" w:lineRule="auto"/>
        <w:rPr>
          <w:sz w:val="20"/>
        </w:rPr>
      </w:pPr>
      <w:r w:rsidRPr="00D8605E">
        <w:rPr>
          <w:rStyle w:val="FootnoteReference"/>
          <w:sz w:val="20"/>
        </w:rPr>
        <w:footnoteRef/>
      </w:r>
      <w:r w:rsidRPr="00D8605E">
        <w:rPr>
          <w:sz w:val="20"/>
        </w:rPr>
        <w:t xml:space="preserve">  See Anthony C. </w:t>
      </w:r>
      <w:proofErr w:type="spellStart"/>
      <w:r w:rsidRPr="00D8605E">
        <w:rPr>
          <w:sz w:val="20"/>
        </w:rPr>
        <w:t>Thiselton</w:t>
      </w:r>
      <w:proofErr w:type="spellEnd"/>
      <w:r w:rsidRPr="00D8605E">
        <w:rPr>
          <w:sz w:val="20"/>
        </w:rPr>
        <w:t xml:space="preserve">, </w:t>
      </w:r>
      <w:r w:rsidRPr="00D8605E">
        <w:rPr>
          <w:i/>
          <w:iCs/>
          <w:sz w:val="20"/>
        </w:rPr>
        <w:t>The First Epistle to the Corinthians: A Commentary on the Greek Text</w:t>
      </w:r>
      <w:r w:rsidRPr="00D8605E">
        <w:rPr>
          <w:sz w:val="20"/>
        </w:rPr>
        <w:t xml:space="preserve"> (Grand Rapids: Eerdmans, 2000)</w:t>
      </w:r>
      <w:r>
        <w:rPr>
          <w:sz w:val="20"/>
        </w:rPr>
        <w:t>,</w:t>
      </w:r>
      <w:r w:rsidRPr="00D8605E">
        <w:rPr>
          <w:sz w:val="20"/>
        </w:rPr>
        <w:t xml:space="preserve"> 931.</w:t>
      </w:r>
    </w:p>
  </w:footnote>
  <w:footnote w:id="50">
    <w:p w14:paraId="45C4DE7A" w14:textId="66A439E5" w:rsidR="009C2066" w:rsidRPr="00D8605E" w:rsidRDefault="009C2066" w:rsidP="00A719CF">
      <w:pPr>
        <w:pStyle w:val="JTTEndnote"/>
        <w:spacing w:line="360" w:lineRule="auto"/>
        <w:rPr>
          <w:sz w:val="20"/>
          <w:lang w:val="en-ZA"/>
        </w:rPr>
      </w:pPr>
      <w:r w:rsidRPr="00D8605E">
        <w:rPr>
          <w:rStyle w:val="FootnoteReference"/>
          <w:sz w:val="20"/>
        </w:rPr>
        <w:footnoteRef/>
      </w:r>
      <w:r w:rsidRPr="00D8605E">
        <w:rPr>
          <w:sz w:val="20"/>
        </w:rPr>
        <w:t xml:space="preserve">  See David </w:t>
      </w:r>
      <w:proofErr w:type="spellStart"/>
      <w:r w:rsidRPr="00D8605E">
        <w:rPr>
          <w:sz w:val="20"/>
        </w:rPr>
        <w:t>Kinnaman</w:t>
      </w:r>
      <w:proofErr w:type="spellEnd"/>
      <w:r w:rsidRPr="00D8605E">
        <w:rPr>
          <w:sz w:val="20"/>
        </w:rPr>
        <w:t xml:space="preserve">, </w:t>
      </w:r>
      <w:r w:rsidRPr="00D8605E">
        <w:rPr>
          <w:i/>
          <w:sz w:val="20"/>
        </w:rPr>
        <w:t>You Lost Me:</w:t>
      </w:r>
      <w:r w:rsidRPr="00D8605E">
        <w:rPr>
          <w:sz w:val="20"/>
        </w:rPr>
        <w:t xml:space="preserve"> </w:t>
      </w:r>
      <w:r w:rsidRPr="00D8605E">
        <w:rPr>
          <w:i/>
          <w:sz w:val="20"/>
        </w:rPr>
        <w:t>Why Young Christians Are Leaving Church, and Rethinking Faith</w:t>
      </w:r>
      <w:r w:rsidRPr="00D8605E">
        <w:rPr>
          <w:sz w:val="20"/>
        </w:rPr>
        <w:t xml:space="preserve"> (Grand Rapids: Baker Books, 2011)</w:t>
      </w:r>
      <w:r>
        <w:rPr>
          <w:sz w:val="20"/>
        </w:rPr>
        <w:t>,</w:t>
      </w:r>
      <w:r w:rsidRPr="00D8605E">
        <w:rPr>
          <w:sz w:val="20"/>
        </w:rPr>
        <w:t xml:space="preserve"> </w:t>
      </w:r>
      <w:r w:rsidR="005E5F15">
        <w:rPr>
          <w:sz w:val="20"/>
        </w:rPr>
        <w:t>13.</w:t>
      </w:r>
    </w:p>
  </w:footnote>
  <w:footnote w:id="51">
    <w:p w14:paraId="33840064" w14:textId="2D29D62E" w:rsidR="009C2066" w:rsidRPr="00D8605E" w:rsidRDefault="009C2066" w:rsidP="00D8605E">
      <w:pPr>
        <w:pStyle w:val="JTTEndnote"/>
        <w:spacing w:line="360" w:lineRule="auto"/>
        <w:rPr>
          <w:rFonts w:cs="Times New Roman"/>
          <w:sz w:val="20"/>
          <w:lang w:val="nl-NL"/>
        </w:rPr>
      </w:pPr>
      <w:r w:rsidRPr="00D8605E">
        <w:rPr>
          <w:rStyle w:val="FootnoteReference"/>
          <w:rFonts w:cs="Times New Roman"/>
          <w:sz w:val="20"/>
        </w:rPr>
        <w:footnoteRef/>
      </w:r>
      <w:r w:rsidRPr="00D8605E">
        <w:rPr>
          <w:rFonts w:cs="Times New Roman"/>
          <w:sz w:val="20"/>
          <w:lang w:val="nl-NL"/>
        </w:rPr>
        <w:t xml:space="preserve">  </w:t>
      </w:r>
      <w:r w:rsidRPr="00D8605E">
        <w:rPr>
          <w:rFonts w:cs="Times New Roman"/>
          <w:sz w:val="20"/>
          <w:lang w:val="nl-NL"/>
        </w:rPr>
        <w:t xml:space="preserve">Breed, "Welcoming Children to the </w:t>
      </w:r>
      <w:proofErr w:type="spellStart"/>
      <w:r w:rsidRPr="00D8605E">
        <w:rPr>
          <w:rFonts w:cs="Times New Roman"/>
          <w:sz w:val="20"/>
        </w:rPr>
        <w:t>δι</w:t>
      </w:r>
      <w:proofErr w:type="spellEnd"/>
      <w:r w:rsidRPr="00D8605E">
        <w:rPr>
          <w:rFonts w:cs="Times New Roman"/>
          <w:sz w:val="20"/>
        </w:rPr>
        <w:t>ακονι</w:t>
      </w:r>
      <w:r w:rsidRPr="00D8605E">
        <w:rPr>
          <w:rFonts w:cs="Times New Roman"/>
          <w:sz w:val="20"/>
          <w:lang w:val="nl-NL"/>
        </w:rPr>
        <w:t>́</w:t>
      </w:r>
      <w:r w:rsidRPr="00D8605E">
        <w:rPr>
          <w:rFonts w:cs="Times New Roman"/>
          <w:sz w:val="20"/>
        </w:rPr>
        <w:t>α</w:t>
      </w:r>
      <w:r w:rsidRPr="00D8605E">
        <w:rPr>
          <w:rFonts w:cs="Times New Roman"/>
          <w:sz w:val="20"/>
          <w:lang w:val="nl-NL"/>
        </w:rPr>
        <w:t xml:space="preserve"> of the Congregation,"  287–291; H. Goede, "Die Voorstelling en die Verteenwoordiging van die Liggaam-Metafoor in 1 Korintiërs 12:1–31," </w:t>
      </w:r>
      <w:r w:rsidRPr="00D8605E">
        <w:rPr>
          <w:rFonts w:cs="Times New Roman"/>
          <w:i/>
          <w:sz w:val="20"/>
          <w:lang w:val="nl-NL"/>
        </w:rPr>
        <w:t>Acta Patristica et Byzantina</w:t>
      </w:r>
      <w:r w:rsidRPr="00D8605E">
        <w:rPr>
          <w:rFonts w:cs="Times New Roman"/>
          <w:sz w:val="20"/>
          <w:lang w:val="nl-NL"/>
        </w:rPr>
        <w:t xml:space="preserve"> 15 (2004): 183, 184.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06B72"/>
    <w:multiLevelType w:val="hybridMultilevel"/>
    <w:tmpl w:val="8676EC1E"/>
    <w:lvl w:ilvl="0" w:tplc="925EBEFC">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933714C"/>
    <w:multiLevelType w:val="hybridMultilevel"/>
    <w:tmpl w:val="95F8C4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41A1763"/>
    <w:multiLevelType w:val="hybridMultilevel"/>
    <w:tmpl w:val="AA2C0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59B0C9B"/>
    <w:multiLevelType w:val="hybridMultilevel"/>
    <w:tmpl w:val="A43E83B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833BBB"/>
    <w:multiLevelType w:val="hybridMultilevel"/>
    <w:tmpl w:val="6738479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5" w15:restartNumberingAfterBreak="0">
    <w:nsid w:val="482D1DB8"/>
    <w:multiLevelType w:val="hybridMultilevel"/>
    <w:tmpl w:val="C0003CD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577311AD"/>
    <w:multiLevelType w:val="multilevel"/>
    <w:tmpl w:val="9AE2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E27009"/>
    <w:multiLevelType w:val="multilevel"/>
    <w:tmpl w:val="C3B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C4A3F"/>
    <w:multiLevelType w:val="hybridMultilevel"/>
    <w:tmpl w:val="0F06BC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0"/>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99"/>
    <w:rsid w:val="000038B7"/>
    <w:rsid w:val="0002222B"/>
    <w:rsid w:val="00023A0E"/>
    <w:rsid w:val="00023BFB"/>
    <w:rsid w:val="00027C12"/>
    <w:rsid w:val="000300B7"/>
    <w:rsid w:val="00030692"/>
    <w:rsid w:val="00034A49"/>
    <w:rsid w:val="0003537F"/>
    <w:rsid w:val="00044F7E"/>
    <w:rsid w:val="00050ADD"/>
    <w:rsid w:val="00056D57"/>
    <w:rsid w:val="000610D9"/>
    <w:rsid w:val="00061E89"/>
    <w:rsid w:val="00076821"/>
    <w:rsid w:val="000912A1"/>
    <w:rsid w:val="00092239"/>
    <w:rsid w:val="00093A64"/>
    <w:rsid w:val="000978A8"/>
    <w:rsid w:val="000A2371"/>
    <w:rsid w:val="000B16CA"/>
    <w:rsid w:val="000C33E1"/>
    <w:rsid w:val="000D247B"/>
    <w:rsid w:val="000D2FA8"/>
    <w:rsid w:val="000E0716"/>
    <w:rsid w:val="000E2282"/>
    <w:rsid w:val="000E6B92"/>
    <w:rsid w:val="000F4C8C"/>
    <w:rsid w:val="000F7B88"/>
    <w:rsid w:val="001028B8"/>
    <w:rsid w:val="0010500E"/>
    <w:rsid w:val="00106728"/>
    <w:rsid w:val="00106A7A"/>
    <w:rsid w:val="00121EF3"/>
    <w:rsid w:val="00123512"/>
    <w:rsid w:val="001274AD"/>
    <w:rsid w:val="00132029"/>
    <w:rsid w:val="001358D9"/>
    <w:rsid w:val="00150A68"/>
    <w:rsid w:val="00151B9E"/>
    <w:rsid w:val="001771FC"/>
    <w:rsid w:val="0018466B"/>
    <w:rsid w:val="00191D8B"/>
    <w:rsid w:val="001A203D"/>
    <w:rsid w:val="001B428D"/>
    <w:rsid w:val="001B46D7"/>
    <w:rsid w:val="001B7964"/>
    <w:rsid w:val="001C1D8F"/>
    <w:rsid w:val="001C3273"/>
    <w:rsid w:val="001C6C2F"/>
    <w:rsid w:val="001D7F58"/>
    <w:rsid w:val="001E1624"/>
    <w:rsid w:val="001F5F76"/>
    <w:rsid w:val="001F60E0"/>
    <w:rsid w:val="001F6C84"/>
    <w:rsid w:val="001F7300"/>
    <w:rsid w:val="001F7C7F"/>
    <w:rsid w:val="002011B6"/>
    <w:rsid w:val="00201E81"/>
    <w:rsid w:val="002046E4"/>
    <w:rsid w:val="00214BF2"/>
    <w:rsid w:val="002524A0"/>
    <w:rsid w:val="00256BDA"/>
    <w:rsid w:val="00261B01"/>
    <w:rsid w:val="00262153"/>
    <w:rsid w:val="00266313"/>
    <w:rsid w:val="002903F9"/>
    <w:rsid w:val="002916E9"/>
    <w:rsid w:val="002951C0"/>
    <w:rsid w:val="0029560E"/>
    <w:rsid w:val="002A2FE9"/>
    <w:rsid w:val="002A3476"/>
    <w:rsid w:val="002A3B37"/>
    <w:rsid w:val="002A3D25"/>
    <w:rsid w:val="002A6040"/>
    <w:rsid w:val="002B07DF"/>
    <w:rsid w:val="002B76C5"/>
    <w:rsid w:val="002D5DC0"/>
    <w:rsid w:val="002F58D7"/>
    <w:rsid w:val="00301097"/>
    <w:rsid w:val="0030231E"/>
    <w:rsid w:val="00306D05"/>
    <w:rsid w:val="003215B1"/>
    <w:rsid w:val="003232DC"/>
    <w:rsid w:val="003233C0"/>
    <w:rsid w:val="00331966"/>
    <w:rsid w:val="00331A3F"/>
    <w:rsid w:val="00345C26"/>
    <w:rsid w:val="0034771C"/>
    <w:rsid w:val="003565D2"/>
    <w:rsid w:val="00365442"/>
    <w:rsid w:val="00374DD0"/>
    <w:rsid w:val="00385139"/>
    <w:rsid w:val="003873C3"/>
    <w:rsid w:val="0039510B"/>
    <w:rsid w:val="003A58D4"/>
    <w:rsid w:val="003B5F2A"/>
    <w:rsid w:val="003C5AD0"/>
    <w:rsid w:val="003C7359"/>
    <w:rsid w:val="003D703F"/>
    <w:rsid w:val="003D7A29"/>
    <w:rsid w:val="003E148F"/>
    <w:rsid w:val="003E4EB0"/>
    <w:rsid w:val="003E639C"/>
    <w:rsid w:val="003E6AAB"/>
    <w:rsid w:val="003F26EA"/>
    <w:rsid w:val="003F41A9"/>
    <w:rsid w:val="003F79A1"/>
    <w:rsid w:val="00407E0A"/>
    <w:rsid w:val="00422D5C"/>
    <w:rsid w:val="00424677"/>
    <w:rsid w:val="0042501F"/>
    <w:rsid w:val="00426A4C"/>
    <w:rsid w:val="00426E48"/>
    <w:rsid w:val="0043148D"/>
    <w:rsid w:val="004326F6"/>
    <w:rsid w:val="00440E93"/>
    <w:rsid w:val="00442CAE"/>
    <w:rsid w:val="004467F6"/>
    <w:rsid w:val="00451241"/>
    <w:rsid w:val="004542B0"/>
    <w:rsid w:val="00454800"/>
    <w:rsid w:val="00454E9E"/>
    <w:rsid w:val="004641A3"/>
    <w:rsid w:val="00470E9A"/>
    <w:rsid w:val="00471E9E"/>
    <w:rsid w:val="00494083"/>
    <w:rsid w:val="004948C8"/>
    <w:rsid w:val="004964DE"/>
    <w:rsid w:val="00496BE4"/>
    <w:rsid w:val="0049711A"/>
    <w:rsid w:val="004B7401"/>
    <w:rsid w:val="004C1136"/>
    <w:rsid w:val="004C5A11"/>
    <w:rsid w:val="004C74FD"/>
    <w:rsid w:val="004E7CDD"/>
    <w:rsid w:val="004F1D95"/>
    <w:rsid w:val="004F2BEE"/>
    <w:rsid w:val="004F7FB5"/>
    <w:rsid w:val="00512136"/>
    <w:rsid w:val="00512676"/>
    <w:rsid w:val="005146DC"/>
    <w:rsid w:val="0052039B"/>
    <w:rsid w:val="00521CEC"/>
    <w:rsid w:val="0052769E"/>
    <w:rsid w:val="00543FEA"/>
    <w:rsid w:val="005440C3"/>
    <w:rsid w:val="00546F89"/>
    <w:rsid w:val="00554691"/>
    <w:rsid w:val="005570DB"/>
    <w:rsid w:val="005623A3"/>
    <w:rsid w:val="00571097"/>
    <w:rsid w:val="00573C49"/>
    <w:rsid w:val="00592879"/>
    <w:rsid w:val="005A4DAF"/>
    <w:rsid w:val="005B1C5D"/>
    <w:rsid w:val="005D2095"/>
    <w:rsid w:val="005D2E91"/>
    <w:rsid w:val="005E3829"/>
    <w:rsid w:val="005E4BCA"/>
    <w:rsid w:val="005E5F15"/>
    <w:rsid w:val="006059BE"/>
    <w:rsid w:val="006061B6"/>
    <w:rsid w:val="00613A18"/>
    <w:rsid w:val="00615FEA"/>
    <w:rsid w:val="00622F4A"/>
    <w:rsid w:val="0064104B"/>
    <w:rsid w:val="00663438"/>
    <w:rsid w:val="006678A0"/>
    <w:rsid w:val="00682604"/>
    <w:rsid w:val="00694F63"/>
    <w:rsid w:val="006A4F53"/>
    <w:rsid w:val="006B34DF"/>
    <w:rsid w:val="006B44AF"/>
    <w:rsid w:val="006B5C5F"/>
    <w:rsid w:val="006D0344"/>
    <w:rsid w:val="006D24DD"/>
    <w:rsid w:val="006E2090"/>
    <w:rsid w:val="006E2D06"/>
    <w:rsid w:val="006E338B"/>
    <w:rsid w:val="006F0145"/>
    <w:rsid w:val="006F6BEC"/>
    <w:rsid w:val="00704653"/>
    <w:rsid w:val="0071049C"/>
    <w:rsid w:val="007116D5"/>
    <w:rsid w:val="00711805"/>
    <w:rsid w:val="007209AB"/>
    <w:rsid w:val="00720D34"/>
    <w:rsid w:val="00730BD5"/>
    <w:rsid w:val="0074104F"/>
    <w:rsid w:val="00752CE5"/>
    <w:rsid w:val="007572C9"/>
    <w:rsid w:val="00757F18"/>
    <w:rsid w:val="00761C81"/>
    <w:rsid w:val="00777A1F"/>
    <w:rsid w:val="00785D42"/>
    <w:rsid w:val="007930CA"/>
    <w:rsid w:val="00794AE5"/>
    <w:rsid w:val="00795EC5"/>
    <w:rsid w:val="007A0FFE"/>
    <w:rsid w:val="007A1D77"/>
    <w:rsid w:val="007B440B"/>
    <w:rsid w:val="007B793B"/>
    <w:rsid w:val="007C0540"/>
    <w:rsid w:val="007C237B"/>
    <w:rsid w:val="007C504D"/>
    <w:rsid w:val="007D7C06"/>
    <w:rsid w:val="007E7C68"/>
    <w:rsid w:val="007F0BFB"/>
    <w:rsid w:val="007F0D89"/>
    <w:rsid w:val="0080449C"/>
    <w:rsid w:val="00814048"/>
    <w:rsid w:val="00815265"/>
    <w:rsid w:val="008315E4"/>
    <w:rsid w:val="00833139"/>
    <w:rsid w:val="008437CE"/>
    <w:rsid w:val="00845714"/>
    <w:rsid w:val="00847AE6"/>
    <w:rsid w:val="00855320"/>
    <w:rsid w:val="008553F2"/>
    <w:rsid w:val="008565BD"/>
    <w:rsid w:val="00862B38"/>
    <w:rsid w:val="008671DE"/>
    <w:rsid w:val="0086745F"/>
    <w:rsid w:val="00874472"/>
    <w:rsid w:val="00882819"/>
    <w:rsid w:val="008919D1"/>
    <w:rsid w:val="00896A34"/>
    <w:rsid w:val="008B06AA"/>
    <w:rsid w:val="008B1A8A"/>
    <w:rsid w:val="008C40D9"/>
    <w:rsid w:val="008D101B"/>
    <w:rsid w:val="008D2DAF"/>
    <w:rsid w:val="008E78AF"/>
    <w:rsid w:val="0091187B"/>
    <w:rsid w:val="00915E62"/>
    <w:rsid w:val="00921F23"/>
    <w:rsid w:val="00923BE6"/>
    <w:rsid w:val="00924747"/>
    <w:rsid w:val="00931442"/>
    <w:rsid w:val="0093376F"/>
    <w:rsid w:val="0094278F"/>
    <w:rsid w:val="00945599"/>
    <w:rsid w:val="009461F9"/>
    <w:rsid w:val="009471AE"/>
    <w:rsid w:val="009472FE"/>
    <w:rsid w:val="009570BC"/>
    <w:rsid w:val="009678A8"/>
    <w:rsid w:val="00970D7A"/>
    <w:rsid w:val="00976FB2"/>
    <w:rsid w:val="0099065F"/>
    <w:rsid w:val="00993201"/>
    <w:rsid w:val="00997B56"/>
    <w:rsid w:val="00997C05"/>
    <w:rsid w:val="009A0D17"/>
    <w:rsid w:val="009B1367"/>
    <w:rsid w:val="009B5277"/>
    <w:rsid w:val="009C2066"/>
    <w:rsid w:val="009C7F08"/>
    <w:rsid w:val="009C7FE0"/>
    <w:rsid w:val="009E0D52"/>
    <w:rsid w:val="009E43BA"/>
    <w:rsid w:val="009E76AD"/>
    <w:rsid w:val="00A00798"/>
    <w:rsid w:val="00A13D6B"/>
    <w:rsid w:val="00A34CCD"/>
    <w:rsid w:val="00A3755B"/>
    <w:rsid w:val="00A402B8"/>
    <w:rsid w:val="00A42026"/>
    <w:rsid w:val="00A43EA9"/>
    <w:rsid w:val="00A453DD"/>
    <w:rsid w:val="00A47ADE"/>
    <w:rsid w:val="00A47EE4"/>
    <w:rsid w:val="00A515B5"/>
    <w:rsid w:val="00A613CC"/>
    <w:rsid w:val="00A628CE"/>
    <w:rsid w:val="00A704A7"/>
    <w:rsid w:val="00A719CF"/>
    <w:rsid w:val="00A73E87"/>
    <w:rsid w:val="00A7435B"/>
    <w:rsid w:val="00A7522F"/>
    <w:rsid w:val="00A75786"/>
    <w:rsid w:val="00A77365"/>
    <w:rsid w:val="00A874EB"/>
    <w:rsid w:val="00A877C2"/>
    <w:rsid w:val="00A9414C"/>
    <w:rsid w:val="00A9549B"/>
    <w:rsid w:val="00AA2793"/>
    <w:rsid w:val="00AB429A"/>
    <w:rsid w:val="00AB65CC"/>
    <w:rsid w:val="00AC06A9"/>
    <w:rsid w:val="00AD0210"/>
    <w:rsid w:val="00B13483"/>
    <w:rsid w:val="00B149B8"/>
    <w:rsid w:val="00B2092A"/>
    <w:rsid w:val="00B31333"/>
    <w:rsid w:val="00B32589"/>
    <w:rsid w:val="00B409DA"/>
    <w:rsid w:val="00B60514"/>
    <w:rsid w:val="00B6665C"/>
    <w:rsid w:val="00B75264"/>
    <w:rsid w:val="00B83718"/>
    <w:rsid w:val="00B914C3"/>
    <w:rsid w:val="00B929CF"/>
    <w:rsid w:val="00B953ED"/>
    <w:rsid w:val="00B974D4"/>
    <w:rsid w:val="00BA39B2"/>
    <w:rsid w:val="00BD083A"/>
    <w:rsid w:val="00BD2E02"/>
    <w:rsid w:val="00BD6F32"/>
    <w:rsid w:val="00BE6F86"/>
    <w:rsid w:val="00BF3281"/>
    <w:rsid w:val="00BF59CC"/>
    <w:rsid w:val="00BF77E2"/>
    <w:rsid w:val="00C04184"/>
    <w:rsid w:val="00C10F02"/>
    <w:rsid w:val="00C33EA8"/>
    <w:rsid w:val="00C44CA4"/>
    <w:rsid w:val="00C504A6"/>
    <w:rsid w:val="00C57DF6"/>
    <w:rsid w:val="00C616BE"/>
    <w:rsid w:val="00C65ABD"/>
    <w:rsid w:val="00C71C58"/>
    <w:rsid w:val="00C82977"/>
    <w:rsid w:val="00C90739"/>
    <w:rsid w:val="00C9086C"/>
    <w:rsid w:val="00C915C2"/>
    <w:rsid w:val="00C950E6"/>
    <w:rsid w:val="00C979B7"/>
    <w:rsid w:val="00CA45CB"/>
    <w:rsid w:val="00CA5BC2"/>
    <w:rsid w:val="00CA5E55"/>
    <w:rsid w:val="00CA7969"/>
    <w:rsid w:val="00CB01FE"/>
    <w:rsid w:val="00CB1CC8"/>
    <w:rsid w:val="00CC6712"/>
    <w:rsid w:val="00CD0E95"/>
    <w:rsid w:val="00CD42AE"/>
    <w:rsid w:val="00CD4FF7"/>
    <w:rsid w:val="00CD5939"/>
    <w:rsid w:val="00CD704A"/>
    <w:rsid w:val="00CE1A15"/>
    <w:rsid w:val="00CE1DA0"/>
    <w:rsid w:val="00D148B2"/>
    <w:rsid w:val="00D1595D"/>
    <w:rsid w:val="00D17D9D"/>
    <w:rsid w:val="00D24937"/>
    <w:rsid w:val="00D331FB"/>
    <w:rsid w:val="00D33AFC"/>
    <w:rsid w:val="00D36F04"/>
    <w:rsid w:val="00D52294"/>
    <w:rsid w:val="00D5701A"/>
    <w:rsid w:val="00D61D09"/>
    <w:rsid w:val="00D66ED8"/>
    <w:rsid w:val="00D8605E"/>
    <w:rsid w:val="00D877FE"/>
    <w:rsid w:val="00D92AE4"/>
    <w:rsid w:val="00DA07AD"/>
    <w:rsid w:val="00DB6B62"/>
    <w:rsid w:val="00DC207C"/>
    <w:rsid w:val="00DE001C"/>
    <w:rsid w:val="00DF5B68"/>
    <w:rsid w:val="00E04218"/>
    <w:rsid w:val="00E05D56"/>
    <w:rsid w:val="00E0733A"/>
    <w:rsid w:val="00E143AE"/>
    <w:rsid w:val="00E16785"/>
    <w:rsid w:val="00E33436"/>
    <w:rsid w:val="00E411A0"/>
    <w:rsid w:val="00E46DE3"/>
    <w:rsid w:val="00E53669"/>
    <w:rsid w:val="00E5627C"/>
    <w:rsid w:val="00E57D87"/>
    <w:rsid w:val="00E62C63"/>
    <w:rsid w:val="00E77AF6"/>
    <w:rsid w:val="00E83835"/>
    <w:rsid w:val="00E92AE9"/>
    <w:rsid w:val="00EB2B00"/>
    <w:rsid w:val="00EB72B5"/>
    <w:rsid w:val="00EC4611"/>
    <w:rsid w:val="00EC7627"/>
    <w:rsid w:val="00ED0959"/>
    <w:rsid w:val="00ED220A"/>
    <w:rsid w:val="00EE608F"/>
    <w:rsid w:val="00EF5871"/>
    <w:rsid w:val="00EF77F1"/>
    <w:rsid w:val="00F01B97"/>
    <w:rsid w:val="00F04822"/>
    <w:rsid w:val="00F134F9"/>
    <w:rsid w:val="00F13ADC"/>
    <w:rsid w:val="00F31026"/>
    <w:rsid w:val="00F35A0A"/>
    <w:rsid w:val="00F44ED7"/>
    <w:rsid w:val="00F47557"/>
    <w:rsid w:val="00F50598"/>
    <w:rsid w:val="00F5336E"/>
    <w:rsid w:val="00F6332C"/>
    <w:rsid w:val="00F724C5"/>
    <w:rsid w:val="00F87E4D"/>
    <w:rsid w:val="00F92D2A"/>
    <w:rsid w:val="00FA7A9F"/>
    <w:rsid w:val="00FB5E50"/>
    <w:rsid w:val="00FC6DAB"/>
    <w:rsid w:val="00FD0506"/>
    <w:rsid w:val="00FE4E70"/>
    <w:rsid w:val="00FF064F"/>
    <w:rsid w:val="00FF343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0A0B"/>
  <w15:docId w15:val="{20819E46-227C-480B-9FDF-65D7834E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92"/>
    <w:pPr>
      <w:spacing w:after="120" w:line="360" w:lineRule="auto"/>
      <w:jc w:val="both"/>
    </w:pPr>
    <w:rPr>
      <w:rFonts w:ascii="Times New Roman" w:eastAsia="MS Mincho" w:hAnsi="Times New Roman" w:cs="Arial"/>
      <w:color w:val="000000" w:themeColor="text1"/>
      <w:sz w:val="24"/>
      <w:szCs w:val="24"/>
      <w:lang w:val="en-GB" w:eastAsia="ja-JP"/>
    </w:rPr>
  </w:style>
  <w:style w:type="paragraph" w:styleId="Heading1">
    <w:name w:val="heading 1"/>
    <w:basedOn w:val="Normal"/>
    <w:next w:val="Normal"/>
    <w:link w:val="Heading1Char"/>
    <w:uiPriority w:val="9"/>
    <w:qFormat/>
    <w:rsid w:val="00E46DE3"/>
    <w:pPr>
      <w:keepNext/>
      <w:keepLines/>
      <w:spacing w:before="360" w:after="240"/>
      <w:ind w:left="720" w:hanging="7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C5AD0"/>
    <w:pPr>
      <w:keepNext/>
      <w:keepLines/>
      <w:spacing w:before="240"/>
      <w:ind w:left="567" w:hanging="567"/>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46DE3"/>
    <w:pPr>
      <w:keepNext/>
      <w:keepLines/>
      <w:spacing w:before="200" w:after="0"/>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C65ABD"/>
    <w:pPr>
      <w:keepNext/>
      <w:keepLines/>
      <w:spacing w:before="200" w:after="0"/>
      <w:outlineLvl w:val="3"/>
    </w:pPr>
    <w:rPr>
      <w:rFonts w:eastAsiaTheme="majorEastAsia" w:cstheme="majorBidi"/>
      <w:b/>
      <w:bCs/>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65D2"/>
    <w:pPr>
      <w:spacing w:after="0" w:line="240" w:lineRule="auto"/>
    </w:pPr>
    <w:rPr>
      <w:sz w:val="20"/>
      <w:szCs w:val="20"/>
    </w:rPr>
  </w:style>
  <w:style w:type="character" w:customStyle="1" w:styleId="FootnoteTextChar">
    <w:name w:val="Footnote Text Char"/>
    <w:basedOn w:val="DefaultParagraphFont"/>
    <w:link w:val="FootnoteText"/>
    <w:uiPriority w:val="99"/>
    <w:rsid w:val="003565D2"/>
    <w:rPr>
      <w:rFonts w:ascii="Times New Roman" w:eastAsia="MS Mincho" w:hAnsi="Times New Roman" w:cs="Arial"/>
      <w:color w:val="000000" w:themeColor="text1"/>
      <w:sz w:val="20"/>
      <w:szCs w:val="20"/>
      <w:lang w:val="en-GB" w:eastAsia="ja-JP"/>
    </w:rPr>
  </w:style>
  <w:style w:type="character" w:styleId="FootnoteReference">
    <w:name w:val="footnote reference"/>
    <w:basedOn w:val="DefaultParagraphFont"/>
    <w:uiPriority w:val="99"/>
    <w:semiHidden/>
    <w:unhideWhenUsed/>
    <w:rsid w:val="00945599"/>
    <w:rPr>
      <w:vertAlign w:val="superscript"/>
    </w:rPr>
  </w:style>
  <w:style w:type="paragraph" w:styleId="BalloonText">
    <w:name w:val="Balloon Text"/>
    <w:basedOn w:val="Normal"/>
    <w:link w:val="BalloonTextChar"/>
    <w:uiPriority w:val="99"/>
    <w:semiHidden/>
    <w:unhideWhenUsed/>
    <w:rsid w:val="00933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6F"/>
    <w:rPr>
      <w:rFonts w:ascii="Segoe UI" w:hAnsi="Segoe UI" w:cs="Segoe UI"/>
      <w:sz w:val="18"/>
      <w:szCs w:val="18"/>
    </w:rPr>
  </w:style>
  <w:style w:type="paragraph" w:styleId="ListParagraph">
    <w:name w:val="List Paragraph"/>
    <w:basedOn w:val="Normal"/>
    <w:uiPriority w:val="34"/>
    <w:qFormat/>
    <w:rsid w:val="000D2FA8"/>
    <w:pPr>
      <w:ind w:left="720"/>
      <w:contextualSpacing/>
    </w:pPr>
  </w:style>
  <w:style w:type="paragraph" w:customStyle="1" w:styleId="Default">
    <w:name w:val="Default"/>
    <w:rsid w:val="001F60E0"/>
    <w:pPr>
      <w:autoSpaceDE w:val="0"/>
      <w:autoSpaceDN w:val="0"/>
      <w:adjustRightInd w:val="0"/>
      <w:spacing w:after="0" w:line="240" w:lineRule="auto"/>
    </w:pPr>
    <w:rPr>
      <w:rFonts w:ascii="Arial" w:eastAsia="Times New Roman" w:hAnsi="Arial" w:cs="Arial"/>
      <w:color w:val="000000"/>
      <w:sz w:val="24"/>
      <w:szCs w:val="24"/>
      <w:lang w:eastAsia="en-ZA"/>
    </w:rPr>
  </w:style>
  <w:style w:type="character" w:customStyle="1" w:styleId="A3">
    <w:name w:val="A3"/>
    <w:uiPriority w:val="99"/>
    <w:rsid w:val="007B793B"/>
    <w:rPr>
      <w:rFonts w:cs="Palatino"/>
      <w:color w:val="000000"/>
      <w:sz w:val="18"/>
      <w:szCs w:val="18"/>
    </w:rPr>
  </w:style>
  <w:style w:type="character" w:styleId="CommentReference">
    <w:name w:val="annotation reference"/>
    <w:basedOn w:val="DefaultParagraphFont"/>
    <w:uiPriority w:val="99"/>
    <w:semiHidden/>
    <w:unhideWhenUsed/>
    <w:rsid w:val="00306D05"/>
    <w:rPr>
      <w:sz w:val="16"/>
      <w:szCs w:val="16"/>
    </w:rPr>
  </w:style>
  <w:style w:type="paragraph" w:styleId="CommentText">
    <w:name w:val="annotation text"/>
    <w:basedOn w:val="Normal"/>
    <w:link w:val="CommentTextChar"/>
    <w:uiPriority w:val="99"/>
    <w:unhideWhenUsed/>
    <w:rsid w:val="00306D05"/>
    <w:pPr>
      <w:spacing w:line="240" w:lineRule="auto"/>
    </w:pPr>
    <w:rPr>
      <w:sz w:val="20"/>
      <w:szCs w:val="20"/>
    </w:rPr>
  </w:style>
  <w:style w:type="character" w:customStyle="1" w:styleId="CommentTextChar">
    <w:name w:val="Comment Text Char"/>
    <w:basedOn w:val="DefaultParagraphFont"/>
    <w:link w:val="CommentText"/>
    <w:uiPriority w:val="99"/>
    <w:rsid w:val="00306D05"/>
    <w:rPr>
      <w:sz w:val="20"/>
      <w:szCs w:val="20"/>
    </w:rPr>
  </w:style>
  <w:style w:type="paragraph" w:styleId="CommentSubject">
    <w:name w:val="annotation subject"/>
    <w:basedOn w:val="CommentText"/>
    <w:next w:val="CommentText"/>
    <w:link w:val="CommentSubjectChar"/>
    <w:uiPriority w:val="99"/>
    <w:semiHidden/>
    <w:unhideWhenUsed/>
    <w:rsid w:val="00306D05"/>
    <w:rPr>
      <w:b/>
      <w:bCs/>
    </w:rPr>
  </w:style>
  <w:style w:type="character" w:customStyle="1" w:styleId="CommentSubjectChar">
    <w:name w:val="Comment Subject Char"/>
    <w:basedOn w:val="CommentTextChar"/>
    <w:link w:val="CommentSubject"/>
    <w:uiPriority w:val="99"/>
    <w:semiHidden/>
    <w:rsid w:val="00306D05"/>
    <w:rPr>
      <w:b/>
      <w:bCs/>
      <w:sz w:val="20"/>
      <w:szCs w:val="20"/>
    </w:rPr>
  </w:style>
  <w:style w:type="paragraph" w:styleId="EndnoteText">
    <w:name w:val="endnote text"/>
    <w:basedOn w:val="Normal"/>
    <w:link w:val="EndnoteTextChar"/>
    <w:uiPriority w:val="99"/>
    <w:semiHidden/>
    <w:unhideWhenUsed/>
    <w:rsid w:val="00BD6F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6F32"/>
    <w:rPr>
      <w:sz w:val="20"/>
      <w:szCs w:val="20"/>
    </w:rPr>
  </w:style>
  <w:style w:type="character" w:styleId="EndnoteReference">
    <w:name w:val="endnote reference"/>
    <w:basedOn w:val="DefaultParagraphFont"/>
    <w:uiPriority w:val="99"/>
    <w:semiHidden/>
    <w:unhideWhenUsed/>
    <w:rsid w:val="00BD6F32"/>
    <w:rPr>
      <w:vertAlign w:val="superscript"/>
    </w:rPr>
  </w:style>
  <w:style w:type="paragraph" w:styleId="Header">
    <w:name w:val="header"/>
    <w:basedOn w:val="Normal"/>
    <w:link w:val="HeaderChar"/>
    <w:uiPriority w:val="99"/>
    <w:unhideWhenUsed/>
    <w:rsid w:val="00557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0DB"/>
  </w:style>
  <w:style w:type="paragraph" w:styleId="Footer">
    <w:name w:val="footer"/>
    <w:basedOn w:val="Normal"/>
    <w:link w:val="FooterChar"/>
    <w:uiPriority w:val="99"/>
    <w:unhideWhenUsed/>
    <w:rsid w:val="00557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0DB"/>
  </w:style>
  <w:style w:type="paragraph" w:customStyle="1" w:styleId="JTTEndnote">
    <w:name w:val="JTT_Endnote"/>
    <w:basedOn w:val="FootnoteText"/>
    <w:qFormat/>
    <w:rsid w:val="003565D2"/>
    <w:pPr>
      <w:spacing w:line="480" w:lineRule="auto"/>
      <w:jc w:val="left"/>
    </w:pPr>
    <w:rPr>
      <w:sz w:val="24"/>
    </w:rPr>
  </w:style>
  <w:style w:type="character" w:styleId="Hyperlink">
    <w:name w:val="Hyperlink"/>
    <w:basedOn w:val="DefaultParagraphFont"/>
    <w:uiPriority w:val="99"/>
    <w:unhideWhenUsed/>
    <w:rsid w:val="008B1A8A"/>
    <w:rPr>
      <w:color w:val="0563C1" w:themeColor="hyperlink"/>
      <w:u w:val="single"/>
    </w:rPr>
  </w:style>
  <w:style w:type="paragraph" w:customStyle="1" w:styleId="Style1">
    <w:name w:val="Style1"/>
    <w:basedOn w:val="Normal"/>
    <w:uiPriority w:val="99"/>
    <w:semiHidden/>
    <w:qFormat/>
    <w:rsid w:val="008B1A8A"/>
    <w:pPr>
      <w:spacing w:line="480" w:lineRule="auto"/>
    </w:pPr>
    <w:rPr>
      <w:rFonts w:eastAsia="Times New Roman"/>
      <w:color w:val="auto"/>
      <w:lang w:val="nl-NL" w:eastAsia="en-ZA"/>
    </w:rPr>
  </w:style>
  <w:style w:type="character" w:customStyle="1" w:styleId="italic">
    <w:name w:val="italic"/>
    <w:basedOn w:val="DefaultParagraphFont"/>
    <w:rsid w:val="008B1A8A"/>
  </w:style>
  <w:style w:type="character" w:customStyle="1" w:styleId="author">
    <w:name w:val="author"/>
    <w:basedOn w:val="DefaultParagraphFont"/>
    <w:rsid w:val="008B1A8A"/>
  </w:style>
  <w:style w:type="character" w:customStyle="1" w:styleId="a-size-medium">
    <w:name w:val="a-size-medium"/>
    <w:basedOn w:val="DefaultParagraphFont"/>
    <w:rsid w:val="008B1A8A"/>
  </w:style>
  <w:style w:type="character" w:customStyle="1" w:styleId="meta-key">
    <w:name w:val="meta-key"/>
    <w:basedOn w:val="DefaultParagraphFont"/>
    <w:rsid w:val="008B1A8A"/>
  </w:style>
  <w:style w:type="character" w:customStyle="1" w:styleId="meta-value">
    <w:name w:val="meta-value"/>
    <w:basedOn w:val="DefaultParagraphFont"/>
    <w:rsid w:val="008B1A8A"/>
  </w:style>
  <w:style w:type="table" w:styleId="TableGrid">
    <w:name w:val="Table Grid"/>
    <w:basedOn w:val="TableNormal"/>
    <w:uiPriority w:val="59"/>
    <w:rsid w:val="008B1A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1A8A"/>
    <w:rPr>
      <w:b/>
      <w:bCs/>
    </w:rPr>
  </w:style>
  <w:style w:type="character" w:styleId="Emphasis">
    <w:name w:val="Emphasis"/>
    <w:basedOn w:val="DefaultParagraphFont"/>
    <w:uiPriority w:val="20"/>
    <w:qFormat/>
    <w:rsid w:val="008B1A8A"/>
    <w:rPr>
      <w:i/>
      <w:iCs/>
    </w:rPr>
  </w:style>
  <w:style w:type="character" w:customStyle="1" w:styleId="Heading1Char">
    <w:name w:val="Heading 1 Char"/>
    <w:basedOn w:val="DefaultParagraphFont"/>
    <w:link w:val="Heading1"/>
    <w:uiPriority w:val="9"/>
    <w:rsid w:val="00E46DE3"/>
    <w:rPr>
      <w:rFonts w:ascii="Times New Roman" w:eastAsiaTheme="majorEastAsia" w:hAnsi="Times New Roman" w:cstheme="majorBidi"/>
      <w:b/>
      <w:bCs/>
      <w:color w:val="000000" w:themeColor="text1"/>
      <w:sz w:val="24"/>
      <w:szCs w:val="28"/>
      <w:lang w:val="en-GB" w:eastAsia="ja-JP"/>
    </w:rPr>
  </w:style>
  <w:style w:type="character" w:customStyle="1" w:styleId="Heading2Char">
    <w:name w:val="Heading 2 Char"/>
    <w:basedOn w:val="DefaultParagraphFont"/>
    <w:link w:val="Heading2"/>
    <w:uiPriority w:val="9"/>
    <w:rsid w:val="003C5AD0"/>
    <w:rPr>
      <w:rFonts w:ascii="Times New Roman" w:eastAsiaTheme="majorEastAsia" w:hAnsi="Times New Roman" w:cstheme="majorBidi"/>
      <w:b/>
      <w:bCs/>
      <w:color w:val="000000" w:themeColor="text1"/>
      <w:sz w:val="24"/>
      <w:szCs w:val="26"/>
      <w:lang w:val="en-GB" w:eastAsia="ja-JP"/>
    </w:rPr>
  </w:style>
  <w:style w:type="character" w:customStyle="1" w:styleId="Heading3Char">
    <w:name w:val="Heading 3 Char"/>
    <w:basedOn w:val="DefaultParagraphFont"/>
    <w:link w:val="Heading3"/>
    <w:uiPriority w:val="9"/>
    <w:rsid w:val="00E46DE3"/>
    <w:rPr>
      <w:rFonts w:ascii="Times New Roman" w:eastAsiaTheme="majorEastAsia" w:hAnsi="Times New Roman" w:cstheme="majorBidi"/>
      <w:b/>
      <w:bCs/>
      <w:sz w:val="24"/>
      <w:szCs w:val="24"/>
      <w:lang w:val="en-GB" w:eastAsia="ja-JP"/>
    </w:rPr>
  </w:style>
  <w:style w:type="paragraph" w:styleId="TOC1">
    <w:name w:val="toc 1"/>
    <w:basedOn w:val="Normal"/>
    <w:next w:val="Normal"/>
    <w:autoRedefine/>
    <w:uiPriority w:val="39"/>
    <w:unhideWhenUsed/>
    <w:rsid w:val="008671DE"/>
    <w:pPr>
      <w:spacing w:after="100"/>
    </w:pPr>
  </w:style>
  <w:style w:type="paragraph" w:styleId="TOC2">
    <w:name w:val="toc 2"/>
    <w:basedOn w:val="Normal"/>
    <w:next w:val="Normal"/>
    <w:autoRedefine/>
    <w:uiPriority w:val="39"/>
    <w:unhideWhenUsed/>
    <w:rsid w:val="00C65ABD"/>
    <w:pPr>
      <w:spacing w:after="100"/>
      <w:ind w:left="805" w:hanging="567"/>
    </w:pPr>
  </w:style>
  <w:style w:type="paragraph" w:styleId="TOC3">
    <w:name w:val="toc 3"/>
    <w:basedOn w:val="Normal"/>
    <w:next w:val="Normal"/>
    <w:autoRedefine/>
    <w:uiPriority w:val="39"/>
    <w:unhideWhenUsed/>
    <w:rsid w:val="00C65ABD"/>
    <w:pPr>
      <w:tabs>
        <w:tab w:val="left" w:pos="1100"/>
        <w:tab w:val="right" w:leader="dot" w:pos="9016"/>
      </w:tabs>
      <w:spacing w:after="100"/>
      <w:ind w:left="1202" w:hanging="720"/>
    </w:pPr>
  </w:style>
  <w:style w:type="character" w:customStyle="1" w:styleId="Heading4Char">
    <w:name w:val="Heading 4 Char"/>
    <w:basedOn w:val="DefaultParagraphFont"/>
    <w:link w:val="Heading4"/>
    <w:uiPriority w:val="9"/>
    <w:rsid w:val="00C65ABD"/>
    <w:rPr>
      <w:rFonts w:ascii="Times New Roman" w:eastAsiaTheme="majorEastAsia" w:hAnsi="Times New Roman" w:cstheme="majorBidi"/>
      <w:b/>
      <w:bCs/>
      <w:i/>
      <w:iCs/>
      <w:sz w:val="24"/>
      <w:szCs w:val="24"/>
      <w:lang w:val="en-GB" w:eastAsia="ja-JP"/>
    </w:rPr>
  </w:style>
  <w:style w:type="paragraph" w:styleId="TOC4">
    <w:name w:val="toc 4"/>
    <w:basedOn w:val="Normal"/>
    <w:next w:val="Normal"/>
    <w:autoRedefine/>
    <w:uiPriority w:val="39"/>
    <w:unhideWhenUsed/>
    <w:rsid w:val="00C65ABD"/>
    <w:pPr>
      <w:spacing w:after="100"/>
      <w:ind w:left="720"/>
    </w:pPr>
  </w:style>
  <w:style w:type="paragraph" w:customStyle="1" w:styleId="BreedBibl">
    <w:name w:val="Breed Bibl."/>
    <w:basedOn w:val="Normal"/>
    <w:qFormat/>
    <w:rsid w:val="00C504A6"/>
    <w:pPr>
      <w:ind w:left="720" w:hanging="720"/>
      <w:mirrorIndents/>
      <w:jc w:val="left"/>
    </w:pPr>
    <w:rPr>
      <w:rFonts w:ascii="Arial" w:eastAsiaTheme="minorHAnsi" w:hAnsi="Arial"/>
      <w:noProof/>
      <w:color w:val="auto"/>
      <w:sz w:val="22"/>
      <w:szCs w:val="22"/>
      <w:lang w:eastAsia="en-US"/>
    </w:rPr>
  </w:style>
  <w:style w:type="character" w:customStyle="1" w:styleId="medium-font">
    <w:name w:val="medium-font"/>
    <w:basedOn w:val="DefaultParagraphFont"/>
    <w:rsid w:val="00B1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4395">
      <w:bodyDiv w:val="1"/>
      <w:marLeft w:val="0"/>
      <w:marRight w:val="0"/>
      <w:marTop w:val="0"/>
      <w:marBottom w:val="0"/>
      <w:divBdr>
        <w:top w:val="none" w:sz="0" w:space="0" w:color="auto"/>
        <w:left w:val="none" w:sz="0" w:space="0" w:color="auto"/>
        <w:bottom w:val="none" w:sz="0" w:space="0" w:color="auto"/>
        <w:right w:val="none" w:sz="0" w:space="0" w:color="auto"/>
      </w:divBdr>
      <w:divsChild>
        <w:div w:id="1628245379">
          <w:marLeft w:val="0"/>
          <w:marRight w:val="0"/>
          <w:marTop w:val="0"/>
          <w:marBottom w:val="0"/>
          <w:divBdr>
            <w:top w:val="none" w:sz="0" w:space="0" w:color="auto"/>
            <w:left w:val="none" w:sz="0" w:space="0" w:color="auto"/>
            <w:bottom w:val="none" w:sz="0" w:space="0" w:color="auto"/>
            <w:right w:val="none" w:sz="0" w:space="0" w:color="auto"/>
          </w:divBdr>
          <w:divsChild>
            <w:div w:id="238057850">
              <w:marLeft w:val="0"/>
              <w:marRight w:val="0"/>
              <w:marTop w:val="0"/>
              <w:marBottom w:val="285"/>
              <w:divBdr>
                <w:top w:val="none" w:sz="0" w:space="0" w:color="auto"/>
                <w:left w:val="none" w:sz="0" w:space="0" w:color="auto"/>
                <w:bottom w:val="none" w:sz="0" w:space="0" w:color="auto"/>
                <w:right w:val="none" w:sz="0" w:space="0" w:color="auto"/>
              </w:divBdr>
              <w:divsChild>
                <w:div w:id="16986557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103312">
          <w:marLeft w:val="0"/>
          <w:marRight w:val="0"/>
          <w:marTop w:val="0"/>
          <w:marBottom w:val="0"/>
          <w:divBdr>
            <w:top w:val="none" w:sz="0" w:space="0" w:color="auto"/>
            <w:left w:val="none" w:sz="0" w:space="0" w:color="auto"/>
            <w:bottom w:val="none" w:sz="0" w:space="0" w:color="auto"/>
            <w:right w:val="none" w:sz="0" w:space="0" w:color="auto"/>
          </w:divBdr>
          <w:divsChild>
            <w:div w:id="1422599701">
              <w:marLeft w:val="0"/>
              <w:marRight w:val="0"/>
              <w:marTop w:val="0"/>
              <w:marBottom w:val="285"/>
              <w:divBdr>
                <w:top w:val="none" w:sz="0" w:space="0" w:color="auto"/>
                <w:left w:val="none" w:sz="0" w:space="0" w:color="auto"/>
                <w:bottom w:val="none" w:sz="0" w:space="0" w:color="auto"/>
                <w:right w:val="none" w:sz="0" w:space="0" w:color="auto"/>
              </w:divBdr>
              <w:divsChild>
                <w:div w:id="20214241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91880">
          <w:marLeft w:val="0"/>
          <w:marRight w:val="0"/>
          <w:marTop w:val="0"/>
          <w:marBottom w:val="0"/>
          <w:divBdr>
            <w:top w:val="none" w:sz="0" w:space="0" w:color="auto"/>
            <w:left w:val="none" w:sz="0" w:space="0" w:color="auto"/>
            <w:bottom w:val="none" w:sz="0" w:space="0" w:color="auto"/>
            <w:right w:val="none" w:sz="0" w:space="0" w:color="auto"/>
          </w:divBdr>
          <w:divsChild>
            <w:div w:id="1667249219">
              <w:marLeft w:val="0"/>
              <w:marRight w:val="0"/>
              <w:marTop w:val="0"/>
              <w:marBottom w:val="285"/>
              <w:divBdr>
                <w:top w:val="none" w:sz="0" w:space="0" w:color="auto"/>
                <w:left w:val="none" w:sz="0" w:space="0" w:color="auto"/>
                <w:bottom w:val="none" w:sz="0" w:space="0" w:color="auto"/>
                <w:right w:val="none" w:sz="0" w:space="0" w:color="auto"/>
              </w:divBdr>
              <w:divsChild>
                <w:div w:id="18242740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0045711">
      <w:bodyDiv w:val="1"/>
      <w:marLeft w:val="0"/>
      <w:marRight w:val="0"/>
      <w:marTop w:val="0"/>
      <w:marBottom w:val="0"/>
      <w:divBdr>
        <w:top w:val="none" w:sz="0" w:space="0" w:color="auto"/>
        <w:left w:val="none" w:sz="0" w:space="0" w:color="auto"/>
        <w:bottom w:val="none" w:sz="0" w:space="0" w:color="auto"/>
        <w:right w:val="none" w:sz="0" w:space="0" w:color="auto"/>
      </w:divBdr>
      <w:divsChild>
        <w:div w:id="267590352">
          <w:marLeft w:val="0"/>
          <w:marRight w:val="0"/>
          <w:marTop w:val="0"/>
          <w:marBottom w:val="0"/>
          <w:divBdr>
            <w:top w:val="none" w:sz="0" w:space="0" w:color="auto"/>
            <w:left w:val="none" w:sz="0" w:space="0" w:color="auto"/>
            <w:bottom w:val="none" w:sz="0" w:space="0" w:color="auto"/>
            <w:right w:val="none" w:sz="0" w:space="0" w:color="auto"/>
          </w:divBdr>
        </w:div>
        <w:div w:id="1198204057">
          <w:marLeft w:val="0"/>
          <w:marRight w:val="0"/>
          <w:marTop w:val="0"/>
          <w:marBottom w:val="0"/>
          <w:divBdr>
            <w:top w:val="none" w:sz="0" w:space="0" w:color="auto"/>
            <w:left w:val="none" w:sz="0" w:space="0" w:color="auto"/>
            <w:bottom w:val="none" w:sz="0" w:space="0" w:color="auto"/>
            <w:right w:val="none" w:sz="0" w:space="0" w:color="auto"/>
          </w:divBdr>
          <w:divsChild>
            <w:div w:id="180898002">
              <w:marLeft w:val="0"/>
              <w:marRight w:val="0"/>
              <w:marTop w:val="0"/>
              <w:marBottom w:val="0"/>
              <w:divBdr>
                <w:top w:val="none" w:sz="0" w:space="0" w:color="auto"/>
                <w:left w:val="none" w:sz="0" w:space="0" w:color="auto"/>
                <w:bottom w:val="none" w:sz="0" w:space="0" w:color="auto"/>
                <w:right w:val="none" w:sz="0" w:space="0" w:color="auto"/>
              </w:divBdr>
            </w:div>
            <w:div w:id="5092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4566">
      <w:bodyDiv w:val="1"/>
      <w:marLeft w:val="0"/>
      <w:marRight w:val="0"/>
      <w:marTop w:val="0"/>
      <w:marBottom w:val="0"/>
      <w:divBdr>
        <w:top w:val="none" w:sz="0" w:space="0" w:color="auto"/>
        <w:left w:val="none" w:sz="0" w:space="0" w:color="auto"/>
        <w:bottom w:val="none" w:sz="0" w:space="0" w:color="auto"/>
        <w:right w:val="none" w:sz="0" w:space="0" w:color="auto"/>
      </w:divBdr>
      <w:divsChild>
        <w:div w:id="2061319440">
          <w:marLeft w:val="0"/>
          <w:marRight w:val="0"/>
          <w:marTop w:val="0"/>
          <w:marBottom w:val="0"/>
          <w:divBdr>
            <w:top w:val="none" w:sz="0" w:space="0" w:color="auto"/>
            <w:left w:val="none" w:sz="0" w:space="0" w:color="auto"/>
            <w:bottom w:val="none" w:sz="0" w:space="0" w:color="auto"/>
            <w:right w:val="none" w:sz="0" w:space="0" w:color="auto"/>
          </w:divBdr>
          <w:divsChild>
            <w:div w:id="1610773839">
              <w:marLeft w:val="0"/>
              <w:marRight w:val="0"/>
              <w:marTop w:val="0"/>
              <w:marBottom w:val="285"/>
              <w:divBdr>
                <w:top w:val="none" w:sz="0" w:space="0" w:color="auto"/>
                <w:left w:val="none" w:sz="0" w:space="0" w:color="auto"/>
                <w:bottom w:val="none" w:sz="0" w:space="0" w:color="auto"/>
                <w:right w:val="none" w:sz="0" w:space="0" w:color="auto"/>
              </w:divBdr>
              <w:divsChild>
                <w:div w:id="1691029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5131970">
          <w:marLeft w:val="0"/>
          <w:marRight w:val="0"/>
          <w:marTop w:val="0"/>
          <w:marBottom w:val="0"/>
          <w:divBdr>
            <w:top w:val="none" w:sz="0" w:space="0" w:color="auto"/>
            <w:left w:val="none" w:sz="0" w:space="0" w:color="auto"/>
            <w:bottom w:val="none" w:sz="0" w:space="0" w:color="auto"/>
            <w:right w:val="none" w:sz="0" w:space="0" w:color="auto"/>
          </w:divBdr>
          <w:divsChild>
            <w:div w:id="526716990">
              <w:marLeft w:val="0"/>
              <w:marRight w:val="0"/>
              <w:marTop w:val="0"/>
              <w:marBottom w:val="285"/>
              <w:divBdr>
                <w:top w:val="none" w:sz="0" w:space="0" w:color="auto"/>
                <w:left w:val="none" w:sz="0" w:space="0" w:color="auto"/>
                <w:bottom w:val="none" w:sz="0" w:space="0" w:color="auto"/>
                <w:right w:val="none" w:sz="0" w:space="0" w:color="auto"/>
              </w:divBdr>
              <w:divsChild>
                <w:div w:id="9329360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85351236">
          <w:marLeft w:val="0"/>
          <w:marRight w:val="0"/>
          <w:marTop w:val="0"/>
          <w:marBottom w:val="0"/>
          <w:divBdr>
            <w:top w:val="none" w:sz="0" w:space="0" w:color="auto"/>
            <w:left w:val="none" w:sz="0" w:space="0" w:color="auto"/>
            <w:bottom w:val="none" w:sz="0" w:space="0" w:color="auto"/>
            <w:right w:val="none" w:sz="0" w:space="0" w:color="auto"/>
          </w:divBdr>
          <w:divsChild>
            <w:div w:id="2031447971">
              <w:marLeft w:val="0"/>
              <w:marRight w:val="0"/>
              <w:marTop w:val="0"/>
              <w:marBottom w:val="285"/>
              <w:divBdr>
                <w:top w:val="none" w:sz="0" w:space="0" w:color="auto"/>
                <w:left w:val="none" w:sz="0" w:space="0" w:color="auto"/>
                <w:bottom w:val="none" w:sz="0" w:space="0" w:color="auto"/>
                <w:right w:val="none" w:sz="0" w:space="0" w:color="auto"/>
              </w:divBdr>
              <w:divsChild>
                <w:div w:id="17270993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27270356">
      <w:bodyDiv w:val="1"/>
      <w:marLeft w:val="0"/>
      <w:marRight w:val="0"/>
      <w:marTop w:val="0"/>
      <w:marBottom w:val="0"/>
      <w:divBdr>
        <w:top w:val="none" w:sz="0" w:space="0" w:color="auto"/>
        <w:left w:val="none" w:sz="0" w:space="0" w:color="auto"/>
        <w:bottom w:val="none" w:sz="0" w:space="0" w:color="auto"/>
        <w:right w:val="none" w:sz="0" w:space="0" w:color="auto"/>
      </w:divBdr>
    </w:div>
    <w:div w:id="1705060133">
      <w:bodyDiv w:val="1"/>
      <w:marLeft w:val="0"/>
      <w:marRight w:val="0"/>
      <w:marTop w:val="0"/>
      <w:marBottom w:val="0"/>
      <w:divBdr>
        <w:top w:val="none" w:sz="0" w:space="0" w:color="auto"/>
        <w:left w:val="none" w:sz="0" w:space="0" w:color="auto"/>
        <w:bottom w:val="none" w:sz="0" w:space="0" w:color="auto"/>
        <w:right w:val="none" w:sz="0" w:space="0" w:color="auto"/>
      </w:divBdr>
      <w:divsChild>
        <w:div w:id="214774888">
          <w:marLeft w:val="0"/>
          <w:marRight w:val="0"/>
          <w:marTop w:val="0"/>
          <w:marBottom w:val="0"/>
          <w:divBdr>
            <w:top w:val="none" w:sz="0" w:space="0" w:color="auto"/>
            <w:left w:val="none" w:sz="0" w:space="0" w:color="auto"/>
            <w:bottom w:val="none" w:sz="0" w:space="0" w:color="auto"/>
            <w:right w:val="none" w:sz="0" w:space="0" w:color="auto"/>
          </w:divBdr>
        </w:div>
        <w:div w:id="1172527960">
          <w:marLeft w:val="0"/>
          <w:marRight w:val="0"/>
          <w:marTop w:val="0"/>
          <w:marBottom w:val="0"/>
          <w:divBdr>
            <w:top w:val="none" w:sz="0" w:space="0" w:color="auto"/>
            <w:left w:val="none" w:sz="0" w:space="0" w:color="auto"/>
            <w:bottom w:val="none" w:sz="0" w:space="0" w:color="auto"/>
            <w:right w:val="none" w:sz="0" w:space="0" w:color="auto"/>
          </w:divBdr>
          <w:divsChild>
            <w:div w:id="428625327">
              <w:marLeft w:val="0"/>
              <w:marRight w:val="0"/>
              <w:marTop w:val="0"/>
              <w:marBottom w:val="0"/>
              <w:divBdr>
                <w:top w:val="none" w:sz="0" w:space="0" w:color="auto"/>
                <w:left w:val="none" w:sz="0" w:space="0" w:color="auto"/>
                <w:bottom w:val="none" w:sz="0" w:space="0" w:color="auto"/>
                <w:right w:val="none" w:sz="0" w:space="0" w:color="auto"/>
              </w:divBdr>
            </w:div>
            <w:div w:id="15578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0339">
      <w:bodyDiv w:val="1"/>
      <w:marLeft w:val="0"/>
      <w:marRight w:val="0"/>
      <w:marTop w:val="0"/>
      <w:marBottom w:val="0"/>
      <w:divBdr>
        <w:top w:val="none" w:sz="0" w:space="0" w:color="auto"/>
        <w:left w:val="none" w:sz="0" w:space="0" w:color="auto"/>
        <w:bottom w:val="none" w:sz="0" w:space="0" w:color="auto"/>
        <w:right w:val="none" w:sz="0" w:space="0" w:color="auto"/>
      </w:divBdr>
      <w:divsChild>
        <w:div w:id="68933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7F1F00-E607-4723-AFFA-B2EA2BD1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3629</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NWUUSER</dc:creator>
  <cp:lastModifiedBy>Gert Breed</cp:lastModifiedBy>
  <cp:revision>6</cp:revision>
  <dcterms:created xsi:type="dcterms:W3CDTF">2019-06-14T12:39:00Z</dcterms:created>
  <dcterms:modified xsi:type="dcterms:W3CDTF">2019-06-15T06:49:00Z</dcterms:modified>
</cp:coreProperties>
</file>