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05D" w:rsidRDefault="0033605D"/>
    <w:p w:rsidR="00EC243C" w:rsidRDefault="00EC243C"/>
    <w:p w:rsidR="00EC243C" w:rsidRDefault="00EC243C"/>
    <w:tbl>
      <w:tblPr>
        <w:tblStyle w:val="TableGrid"/>
        <w:tblW w:w="0" w:type="auto"/>
        <w:tblLook w:val="04A0" w:firstRow="1" w:lastRow="0" w:firstColumn="1" w:lastColumn="0" w:noHBand="0" w:noVBand="1"/>
      </w:tblPr>
      <w:tblGrid>
        <w:gridCol w:w="4508"/>
        <w:gridCol w:w="4508"/>
      </w:tblGrid>
      <w:tr w:rsidR="00BF0B31" w:rsidTr="00994A12">
        <w:tc>
          <w:tcPr>
            <w:tcW w:w="9016" w:type="dxa"/>
            <w:gridSpan w:val="2"/>
          </w:tcPr>
          <w:p w:rsidR="000370B0" w:rsidRPr="00BF0B31" w:rsidRDefault="00BF0B31" w:rsidP="00BF0B31">
            <w:pPr>
              <w:keepNext/>
              <w:keepLines/>
              <w:spacing w:before="360" w:after="240" w:line="360" w:lineRule="auto"/>
              <w:jc w:val="both"/>
              <w:outlineLvl w:val="0"/>
              <w:rPr>
                <w:rFonts w:ascii="Times New Roman" w:eastAsiaTheme="majorEastAsia" w:hAnsi="Times New Roman" w:cstheme="majorBidi"/>
                <w:b/>
                <w:bCs/>
                <w:color w:val="000000" w:themeColor="text1"/>
                <w:sz w:val="28"/>
                <w:szCs w:val="28"/>
                <w:lang w:val="en-US" w:eastAsia="ja-JP"/>
              </w:rPr>
            </w:pPr>
            <w:bookmarkStart w:id="0" w:name="_Toc493264804"/>
            <w:bookmarkStart w:id="1" w:name="_Toc482179304"/>
            <w:bookmarkStart w:id="2" w:name="_Toc476766124"/>
            <w:bookmarkStart w:id="3" w:name="_Toc482565020"/>
            <w:r w:rsidRPr="00BF0B31">
              <w:rPr>
                <w:rFonts w:ascii="Times New Roman" w:eastAsiaTheme="majorEastAsia" w:hAnsi="Times New Roman" w:cstheme="majorBidi"/>
                <w:b/>
                <w:bCs/>
                <w:color w:val="000000" w:themeColor="text1"/>
                <w:sz w:val="28"/>
                <w:szCs w:val="28"/>
                <w:lang w:val="en-US" w:eastAsia="ja-JP"/>
              </w:rPr>
              <w:t xml:space="preserve">The </w:t>
            </w:r>
            <w:bookmarkEnd w:id="0"/>
            <w:r w:rsidRPr="00BF0B31">
              <w:rPr>
                <w:rFonts w:ascii="Times New Roman" w:eastAsiaTheme="majorEastAsia" w:hAnsi="Times New Roman" w:cstheme="majorBidi"/>
                <w:b/>
                <w:bCs/>
                <w:color w:val="000000" w:themeColor="text1"/>
                <w:sz w:val="28"/>
                <w:szCs w:val="28"/>
                <w:lang w:val="en-US" w:eastAsia="ja-JP"/>
              </w:rPr>
              <w:t xml:space="preserve">essence and content of the work of the </w:t>
            </w:r>
            <w:proofErr w:type="spellStart"/>
            <w:r w:rsidRPr="00BF0B31">
              <w:rPr>
                <w:rFonts w:ascii="Times New Roman" w:eastAsiaTheme="majorEastAsia" w:hAnsi="Times New Roman" w:cstheme="majorBidi"/>
                <w:b/>
                <w:bCs/>
                <w:i/>
                <w:color w:val="000000" w:themeColor="text1"/>
                <w:sz w:val="28"/>
                <w:szCs w:val="28"/>
                <w:lang w:val="en-US" w:eastAsia="ja-JP"/>
              </w:rPr>
              <w:t>diakonos</w:t>
            </w:r>
            <w:proofErr w:type="spellEnd"/>
            <w:r w:rsidRPr="00BF0B31">
              <w:rPr>
                <w:rFonts w:ascii="Times New Roman" w:eastAsiaTheme="majorEastAsia" w:hAnsi="Times New Roman" w:cstheme="majorBidi"/>
                <w:b/>
                <w:bCs/>
                <w:color w:val="000000" w:themeColor="text1"/>
                <w:sz w:val="28"/>
                <w:szCs w:val="28"/>
                <w:lang w:val="en-US" w:eastAsia="ja-JP"/>
              </w:rPr>
              <w:t xml:space="preserve"> according to the New Testament</w:t>
            </w:r>
            <w:bookmarkEnd w:id="1"/>
            <w:bookmarkEnd w:id="2"/>
            <w:bookmarkEnd w:id="3"/>
            <w:r w:rsidR="000370B0">
              <w:rPr>
                <w:rFonts w:ascii="Times New Roman" w:eastAsiaTheme="majorEastAsia" w:hAnsi="Times New Roman" w:cstheme="majorBidi"/>
                <w:b/>
                <w:bCs/>
                <w:color w:val="000000" w:themeColor="text1"/>
                <w:sz w:val="28"/>
                <w:szCs w:val="28"/>
                <w:lang w:val="en-US" w:eastAsia="ja-JP"/>
              </w:rPr>
              <w:t>: G Breed</w:t>
            </w:r>
          </w:p>
        </w:tc>
      </w:tr>
      <w:tr w:rsidR="00EC243C" w:rsidRPr="00EC243C" w:rsidTr="00EC243C">
        <w:tc>
          <w:tcPr>
            <w:tcW w:w="4508" w:type="dxa"/>
          </w:tcPr>
          <w:p w:rsidR="00EC243C" w:rsidRPr="00EC243C" w:rsidRDefault="00EC243C" w:rsidP="00EC243C">
            <w:pPr>
              <w:pStyle w:val="CommentText"/>
              <w:rPr>
                <w:lang w:val="af-ZA"/>
              </w:rPr>
            </w:pPr>
            <w:r w:rsidRPr="000B4F52">
              <w:rPr>
                <w:lang w:val="af-ZA"/>
              </w:rPr>
              <w:t xml:space="preserve">Dit is nie duidelik waarom </w:t>
            </w:r>
            <w:r w:rsidRPr="000B4F52">
              <w:rPr>
                <w:i/>
                <w:lang w:val="af-ZA"/>
              </w:rPr>
              <w:t>kinders</w:t>
            </w:r>
            <w:r w:rsidRPr="000B4F52">
              <w:rPr>
                <w:lang w:val="af-ZA"/>
              </w:rPr>
              <w:t xml:space="preserve"> hier uitgesonder word nie.</w:t>
            </w:r>
            <w:r>
              <w:rPr>
                <w:lang w:val="af-ZA"/>
              </w:rPr>
              <w:t xml:space="preserve"> Indien die outeur voel hy wil kinders beklemtoon in 1 </w:t>
            </w:r>
            <w:proofErr w:type="spellStart"/>
            <w:r>
              <w:rPr>
                <w:lang w:val="af-ZA"/>
              </w:rPr>
              <w:t>Kor</w:t>
            </w:r>
            <w:proofErr w:type="spellEnd"/>
            <w:r>
              <w:rPr>
                <w:lang w:val="af-ZA"/>
              </w:rPr>
              <w:t xml:space="preserve"> 12, moet dit </w:t>
            </w:r>
            <w:r w:rsidRPr="000B4F52">
              <w:rPr>
                <w:i/>
                <w:lang w:val="af-ZA"/>
              </w:rPr>
              <w:t>beredeneer</w:t>
            </w:r>
            <w:r>
              <w:rPr>
                <w:lang w:val="af-ZA"/>
              </w:rPr>
              <w:t xml:space="preserve"> word, want die teks verwys nie direk na kinders nie; 'n blote verwysing na sy vorige navorsing is nie voldoende nie. Anders kan die verwysing na kinders bloot weggelaat word. Dis nie regtig funksioneel tot die oorhoofse argument wat gevoer word nie.</w:t>
            </w:r>
          </w:p>
        </w:tc>
        <w:tc>
          <w:tcPr>
            <w:tcW w:w="4508" w:type="dxa"/>
          </w:tcPr>
          <w:p w:rsidR="00EC243C" w:rsidRPr="00EC243C" w:rsidRDefault="00EC243C">
            <w:pPr>
              <w:rPr>
                <w:lang w:val="af-ZA"/>
              </w:rPr>
            </w:pPr>
            <w:r>
              <w:rPr>
                <w:lang w:val="af-ZA"/>
              </w:rPr>
              <w:t>Verwysing weggelaat</w:t>
            </w:r>
          </w:p>
        </w:tc>
      </w:tr>
      <w:tr w:rsidR="00EC243C" w:rsidRPr="00EC243C" w:rsidTr="00EC243C">
        <w:tc>
          <w:tcPr>
            <w:tcW w:w="4508" w:type="dxa"/>
          </w:tcPr>
          <w:p w:rsidR="00EC243C" w:rsidRPr="00EC243C" w:rsidRDefault="00EC243C">
            <w:pPr>
              <w:rPr>
                <w:lang w:val="nl-NL"/>
              </w:rPr>
            </w:pPr>
            <w:r w:rsidRPr="00EC243C">
              <w:rPr>
                <w:lang w:val="nl-NL"/>
              </w:rPr>
              <w:t>Net 'n algemene opmerking ter oorweging (die outeur kan self besluit of hy hom hieraan skuldig maak): So 'n werkwyse kan lei tot wat James Barr genoem het "illegitimate totality transfer", m a w, waar die betekenisse van diakon- soos versamel in 'n klomp kontekste, onregmatig oorgedra word na die taakomskrywing van die diaken as sg leiersfiguur. Want die feit van die saak is dat die woordgroep diakon- in 'n verskeidenheid van kontekste aangewend word waarvan sommige niks of weinig te doen het met die werk van die diaken as spesifieke leiersfiguur ("amp" van diaken). 'n Mens moet dus uiteindelik baie fyn onderskei wátter kontekste se betekenisse relevant is vir die diaken as leiersfiguur.</w:t>
            </w:r>
          </w:p>
        </w:tc>
        <w:tc>
          <w:tcPr>
            <w:tcW w:w="4508" w:type="dxa"/>
          </w:tcPr>
          <w:p w:rsidR="000370B0" w:rsidRDefault="00EC243C">
            <w:pPr>
              <w:rPr>
                <w:lang w:val="nl-NL"/>
              </w:rPr>
            </w:pPr>
            <w:r>
              <w:rPr>
                <w:lang w:val="nl-NL"/>
              </w:rPr>
              <w:t xml:space="preserve">Dankie vir die belangrike waarskuwing. </w:t>
            </w:r>
            <w:r w:rsidR="000370B0">
              <w:rPr>
                <w:lang w:val="nl-NL"/>
              </w:rPr>
              <w:t>Ek is bedag hierop.</w:t>
            </w:r>
          </w:p>
          <w:p w:rsidR="000370B0" w:rsidRDefault="000370B0">
            <w:pPr>
              <w:rPr>
                <w:lang w:val="nl-NL"/>
              </w:rPr>
            </w:pPr>
          </w:p>
          <w:p w:rsidR="00EC243C" w:rsidRDefault="00EC243C">
            <w:pPr>
              <w:rPr>
                <w:lang w:val="nl-NL"/>
              </w:rPr>
            </w:pPr>
            <w:r>
              <w:rPr>
                <w:lang w:val="nl-NL"/>
              </w:rPr>
              <w:t>Hierdie artikel kom juis tot die konklusie dat hierdie slegs die eerste stap is as ’n moontlike basis vir verdere studie voordat die resultate van die studie op die taak van die diaken van vandag toegepas kan word.</w:t>
            </w:r>
          </w:p>
          <w:p w:rsidR="00EC243C" w:rsidRDefault="00EC243C">
            <w:pPr>
              <w:rPr>
                <w:lang w:val="nl-NL"/>
              </w:rPr>
            </w:pPr>
          </w:p>
          <w:p w:rsidR="00EC243C" w:rsidRDefault="00EC243C">
            <w:pPr>
              <w:rPr>
                <w:lang w:val="nl-NL"/>
              </w:rPr>
            </w:pPr>
            <w:r>
              <w:rPr>
                <w:lang w:val="nl-NL"/>
              </w:rPr>
              <w:t>Daar sal dus eers vasgestel moet word hoe die resultate op die leier-diakonos van toepassing was voordat die toepassing op die diaken-amp kan plaasvind.</w:t>
            </w:r>
          </w:p>
          <w:p w:rsidR="00EC243C" w:rsidRDefault="00EC243C">
            <w:pPr>
              <w:rPr>
                <w:lang w:val="nl-NL"/>
              </w:rPr>
            </w:pPr>
          </w:p>
          <w:p w:rsidR="00EC243C" w:rsidRPr="00EC243C" w:rsidRDefault="00EC243C" w:rsidP="00EC243C">
            <w:pPr>
              <w:rPr>
                <w:lang w:val="nl-NL"/>
              </w:rPr>
            </w:pPr>
            <w:r>
              <w:rPr>
                <w:lang w:val="nl-NL"/>
              </w:rPr>
              <w:t>Ek stem dus 100% saam met die opmerking maar glo dat die artikel juis nie in die strik trap nie omdat dit nie aanspraak maak op finale toepassingsmoontlikhede op die diaken se werk nie.</w:t>
            </w:r>
          </w:p>
        </w:tc>
      </w:tr>
      <w:tr w:rsidR="00EC243C" w:rsidRPr="00EC243C" w:rsidTr="00EC243C">
        <w:tc>
          <w:tcPr>
            <w:tcW w:w="4508" w:type="dxa"/>
          </w:tcPr>
          <w:p w:rsidR="000370B0" w:rsidRPr="000370B0" w:rsidRDefault="000370B0" w:rsidP="000370B0">
            <w:pPr>
              <w:spacing w:after="120"/>
              <w:jc w:val="both"/>
              <w:rPr>
                <w:rFonts w:ascii="Times New Roman" w:eastAsia="MS Mincho" w:hAnsi="Times New Roman" w:cs="Arial"/>
                <w:color w:val="000000" w:themeColor="text1"/>
                <w:sz w:val="20"/>
                <w:szCs w:val="20"/>
                <w:lang w:val="af-ZA" w:eastAsia="ja-JP"/>
              </w:rPr>
            </w:pPr>
            <w:r w:rsidRPr="000370B0">
              <w:rPr>
                <w:rFonts w:ascii="Times New Roman" w:eastAsia="MS Mincho" w:hAnsi="Times New Roman" w:cs="Arial"/>
                <w:color w:val="000000" w:themeColor="text1"/>
                <w:sz w:val="20"/>
                <w:szCs w:val="20"/>
                <w:lang w:val="af-ZA" w:eastAsia="ja-JP"/>
              </w:rPr>
              <w:t xml:space="preserve">Ek is bevrees hierdie soort ondersoek as 'n manier om by die taakomskrywing van die </w:t>
            </w:r>
            <w:r w:rsidRPr="000370B0">
              <w:rPr>
                <w:rFonts w:ascii="Times New Roman" w:eastAsia="MS Mincho" w:hAnsi="Times New Roman" w:cs="Arial"/>
                <w:i/>
                <w:color w:val="000000" w:themeColor="text1"/>
                <w:sz w:val="20"/>
                <w:szCs w:val="20"/>
                <w:lang w:val="af-ZA" w:eastAsia="ja-JP"/>
              </w:rPr>
              <w:t>diaken</w:t>
            </w:r>
            <w:r w:rsidRPr="000370B0">
              <w:rPr>
                <w:rFonts w:ascii="Times New Roman" w:eastAsia="MS Mincho" w:hAnsi="Times New Roman" w:cs="Arial"/>
                <w:color w:val="000000" w:themeColor="text1"/>
                <w:sz w:val="20"/>
                <w:szCs w:val="20"/>
                <w:lang w:val="af-ZA" w:eastAsia="ja-JP"/>
              </w:rPr>
              <w:t xml:space="preserve"> (leiersfiguur in NT; en diakensamp vandag) uit te kom, is nie baie oortuigend nie. Dit is net te algemeen. </w:t>
            </w:r>
            <w:proofErr w:type="gramStart"/>
            <w:r w:rsidRPr="000370B0">
              <w:rPr>
                <w:rFonts w:ascii="Times New Roman" w:eastAsia="MS Mincho" w:hAnsi="Times New Roman" w:cs="Arial"/>
                <w:color w:val="000000" w:themeColor="text1"/>
                <w:sz w:val="20"/>
                <w:szCs w:val="20"/>
                <w:lang w:val="af-ZA" w:eastAsia="ja-JP"/>
              </w:rPr>
              <w:t>Want</w:t>
            </w:r>
            <w:proofErr w:type="gramEnd"/>
            <w:r w:rsidRPr="000370B0">
              <w:rPr>
                <w:rFonts w:ascii="Times New Roman" w:eastAsia="MS Mincho" w:hAnsi="Times New Roman" w:cs="Arial"/>
                <w:color w:val="000000" w:themeColor="text1"/>
                <w:sz w:val="20"/>
                <w:szCs w:val="20"/>
                <w:lang w:val="af-ZA" w:eastAsia="ja-JP"/>
              </w:rPr>
              <w:t xml:space="preserve"> wat hier telkens as "essensie" en "inhoud" van die </w:t>
            </w:r>
            <w:proofErr w:type="spellStart"/>
            <w:r w:rsidRPr="000370B0">
              <w:rPr>
                <w:rFonts w:ascii="Times New Roman" w:eastAsia="MS Mincho" w:hAnsi="Times New Roman" w:cs="Arial"/>
                <w:i/>
                <w:color w:val="000000" w:themeColor="text1"/>
                <w:sz w:val="20"/>
                <w:szCs w:val="20"/>
                <w:lang w:val="af-ZA" w:eastAsia="ja-JP"/>
              </w:rPr>
              <w:t>diakon</w:t>
            </w:r>
            <w:r w:rsidRPr="000370B0">
              <w:rPr>
                <w:rFonts w:ascii="Times New Roman" w:eastAsia="MS Mincho" w:hAnsi="Times New Roman" w:cs="Arial"/>
                <w:color w:val="000000" w:themeColor="text1"/>
                <w:sz w:val="20"/>
                <w:szCs w:val="20"/>
                <w:lang w:val="af-ZA" w:eastAsia="ja-JP"/>
              </w:rPr>
              <w:t>-woordgroep</w:t>
            </w:r>
            <w:proofErr w:type="spellEnd"/>
            <w:r w:rsidRPr="000370B0">
              <w:rPr>
                <w:rFonts w:ascii="Times New Roman" w:eastAsia="MS Mincho" w:hAnsi="Times New Roman" w:cs="Arial"/>
                <w:color w:val="000000" w:themeColor="text1"/>
                <w:sz w:val="20"/>
                <w:szCs w:val="20"/>
                <w:lang w:val="af-ZA" w:eastAsia="ja-JP"/>
              </w:rPr>
              <w:t xml:space="preserve"> geïdentifiseer word, kan net so goed op enige van die leiersfigure wat in die NT voorkom, van toepassing gemaak word. Dit is net nie onderskeidend genoeg om as grondwerk vir die </w:t>
            </w:r>
            <w:r w:rsidRPr="000370B0">
              <w:rPr>
                <w:rFonts w:ascii="Times New Roman" w:eastAsia="MS Mincho" w:hAnsi="Times New Roman" w:cs="Arial"/>
                <w:i/>
                <w:color w:val="000000" w:themeColor="text1"/>
                <w:sz w:val="20"/>
                <w:szCs w:val="20"/>
                <w:lang w:val="af-ZA" w:eastAsia="ja-JP"/>
              </w:rPr>
              <w:t>diaken</w:t>
            </w:r>
            <w:r w:rsidRPr="000370B0">
              <w:rPr>
                <w:rFonts w:ascii="Times New Roman" w:eastAsia="MS Mincho" w:hAnsi="Times New Roman" w:cs="Arial"/>
                <w:color w:val="000000" w:themeColor="text1"/>
                <w:sz w:val="20"/>
                <w:szCs w:val="20"/>
                <w:lang w:val="af-ZA" w:eastAsia="ja-JP"/>
              </w:rPr>
              <w:t xml:space="preserve"> as leiersfiguur te dien nie. Daar sal 'n ander metodologie aanvaar moet word om aan te toon waarom spesifiek die woord </w:t>
            </w:r>
            <w:proofErr w:type="spellStart"/>
            <w:r w:rsidRPr="000370B0">
              <w:rPr>
                <w:rFonts w:ascii="Times New Roman" w:eastAsia="MS Mincho" w:hAnsi="Times New Roman" w:cs="Arial"/>
                <w:i/>
                <w:color w:val="000000" w:themeColor="text1"/>
                <w:sz w:val="20"/>
                <w:szCs w:val="20"/>
                <w:lang w:val="af-ZA" w:eastAsia="ja-JP"/>
              </w:rPr>
              <w:t>diakonos</w:t>
            </w:r>
            <w:proofErr w:type="spellEnd"/>
            <w:r w:rsidRPr="000370B0">
              <w:rPr>
                <w:rFonts w:ascii="Times New Roman" w:eastAsia="MS Mincho" w:hAnsi="Times New Roman" w:cs="Arial"/>
                <w:color w:val="000000" w:themeColor="text1"/>
                <w:sz w:val="20"/>
                <w:szCs w:val="20"/>
                <w:lang w:val="af-ZA" w:eastAsia="ja-JP"/>
              </w:rPr>
              <w:t xml:space="preserve"> gebruik word om die ampswerk van die diaken van dié van die ouderling, wat klaarblyklik in </w:t>
            </w:r>
            <w:proofErr w:type="spellStart"/>
            <w:r w:rsidRPr="000370B0">
              <w:rPr>
                <w:rFonts w:ascii="Times New Roman" w:eastAsia="MS Mincho" w:hAnsi="Times New Roman" w:cs="Arial"/>
                <w:color w:val="000000" w:themeColor="text1"/>
                <w:sz w:val="20"/>
                <w:szCs w:val="20"/>
                <w:lang w:val="af-ZA" w:eastAsia="ja-JP"/>
              </w:rPr>
              <w:t>bv</w:t>
            </w:r>
            <w:proofErr w:type="spellEnd"/>
            <w:r w:rsidRPr="000370B0">
              <w:rPr>
                <w:rFonts w:ascii="Times New Roman" w:eastAsia="MS Mincho" w:hAnsi="Times New Roman" w:cs="Arial"/>
                <w:color w:val="000000" w:themeColor="text1"/>
                <w:sz w:val="20"/>
                <w:szCs w:val="20"/>
                <w:lang w:val="af-ZA" w:eastAsia="ja-JP"/>
              </w:rPr>
              <w:t xml:space="preserve"> </w:t>
            </w:r>
            <w:proofErr w:type="spellStart"/>
            <w:r w:rsidRPr="000370B0">
              <w:rPr>
                <w:rFonts w:ascii="Times New Roman" w:eastAsia="MS Mincho" w:hAnsi="Times New Roman" w:cs="Arial"/>
                <w:color w:val="000000" w:themeColor="text1"/>
                <w:sz w:val="20"/>
                <w:szCs w:val="20"/>
                <w:lang w:val="af-ZA" w:eastAsia="ja-JP"/>
              </w:rPr>
              <w:t>Fil</w:t>
            </w:r>
            <w:proofErr w:type="spellEnd"/>
            <w:r w:rsidRPr="000370B0">
              <w:rPr>
                <w:rFonts w:ascii="Times New Roman" w:eastAsia="MS Mincho" w:hAnsi="Times New Roman" w:cs="Arial"/>
                <w:color w:val="000000" w:themeColor="text1"/>
                <w:sz w:val="20"/>
                <w:szCs w:val="20"/>
                <w:lang w:val="af-ZA" w:eastAsia="ja-JP"/>
              </w:rPr>
              <w:t xml:space="preserve"> 1:1 en 1 Tim 3:8-13 ter sprake is, te onderskei. Die outeur het nog nie daardie brug geslaan tussen die algemene term </w:t>
            </w:r>
            <w:proofErr w:type="spellStart"/>
            <w:r w:rsidRPr="000370B0">
              <w:rPr>
                <w:rFonts w:ascii="Times New Roman" w:eastAsia="MS Mincho" w:hAnsi="Times New Roman" w:cs="Arial"/>
                <w:i/>
                <w:color w:val="000000" w:themeColor="text1"/>
                <w:sz w:val="20"/>
                <w:szCs w:val="20"/>
                <w:lang w:val="af-ZA" w:eastAsia="ja-JP"/>
              </w:rPr>
              <w:t>diakonos</w:t>
            </w:r>
            <w:proofErr w:type="spellEnd"/>
            <w:r w:rsidRPr="000370B0">
              <w:rPr>
                <w:rFonts w:ascii="Times New Roman" w:eastAsia="MS Mincho" w:hAnsi="Times New Roman" w:cs="Arial"/>
                <w:color w:val="000000" w:themeColor="text1"/>
                <w:sz w:val="20"/>
                <w:szCs w:val="20"/>
                <w:lang w:val="af-ZA" w:eastAsia="ja-JP"/>
              </w:rPr>
              <w:t xml:space="preserve"> (soos beskryf in hierdie artikel) en die spesifieke werk van die </w:t>
            </w:r>
            <w:r w:rsidRPr="000370B0">
              <w:rPr>
                <w:rFonts w:ascii="Times New Roman" w:eastAsia="MS Mincho" w:hAnsi="Times New Roman" w:cs="Arial"/>
                <w:i/>
                <w:color w:val="000000" w:themeColor="text1"/>
                <w:sz w:val="20"/>
                <w:szCs w:val="20"/>
                <w:lang w:val="af-ZA" w:eastAsia="ja-JP"/>
              </w:rPr>
              <w:t>diakenamp</w:t>
            </w:r>
            <w:r w:rsidRPr="000370B0">
              <w:rPr>
                <w:rFonts w:ascii="Times New Roman" w:eastAsia="MS Mincho" w:hAnsi="Times New Roman" w:cs="Arial"/>
                <w:color w:val="000000" w:themeColor="text1"/>
                <w:sz w:val="20"/>
                <w:szCs w:val="20"/>
                <w:lang w:val="af-ZA" w:eastAsia="ja-JP"/>
              </w:rPr>
              <w:t xml:space="preserve"> nie. </w:t>
            </w:r>
            <w:proofErr w:type="gramStart"/>
            <w:r w:rsidRPr="000370B0">
              <w:rPr>
                <w:rFonts w:ascii="Times New Roman" w:eastAsia="MS Mincho" w:hAnsi="Times New Roman" w:cs="Arial"/>
                <w:color w:val="000000" w:themeColor="text1"/>
                <w:sz w:val="20"/>
                <w:szCs w:val="20"/>
                <w:lang w:val="af-ZA" w:eastAsia="ja-JP"/>
              </w:rPr>
              <w:lastRenderedPageBreak/>
              <w:t>En</w:t>
            </w:r>
            <w:proofErr w:type="gramEnd"/>
            <w:r w:rsidRPr="000370B0">
              <w:rPr>
                <w:rFonts w:ascii="Times New Roman" w:eastAsia="MS Mincho" w:hAnsi="Times New Roman" w:cs="Arial"/>
                <w:color w:val="000000" w:themeColor="text1"/>
                <w:sz w:val="20"/>
                <w:szCs w:val="20"/>
                <w:lang w:val="af-ZA" w:eastAsia="ja-JP"/>
              </w:rPr>
              <w:t xml:space="preserve"> solank dit nie gedoen word nie, gaan die soort woordstudie-oefening soos in hierdie artikel vervat, 'n oefening in futiliteit bly. </w:t>
            </w:r>
            <w:proofErr w:type="gramStart"/>
            <w:r w:rsidRPr="000370B0">
              <w:rPr>
                <w:rFonts w:ascii="Times New Roman" w:eastAsia="MS Mincho" w:hAnsi="Times New Roman" w:cs="Arial"/>
                <w:color w:val="000000" w:themeColor="text1"/>
                <w:sz w:val="20"/>
                <w:szCs w:val="20"/>
                <w:highlight w:val="yellow"/>
                <w:lang w:val="af-ZA" w:eastAsia="ja-JP"/>
              </w:rPr>
              <w:t>Maar</w:t>
            </w:r>
            <w:proofErr w:type="gramEnd"/>
            <w:r w:rsidRPr="000370B0">
              <w:rPr>
                <w:rFonts w:ascii="Times New Roman" w:eastAsia="MS Mincho" w:hAnsi="Times New Roman" w:cs="Arial"/>
                <w:color w:val="000000" w:themeColor="text1"/>
                <w:sz w:val="20"/>
                <w:szCs w:val="20"/>
                <w:highlight w:val="yellow"/>
                <w:lang w:val="af-ZA" w:eastAsia="ja-JP"/>
              </w:rPr>
              <w:t xml:space="preserve"> dit lyk asof die outeur bewus is van die probleem, soos in die res van die konklusie na vore kom. Die brug mag dan dalk in latere studies geslaan word.</w:t>
            </w:r>
          </w:p>
          <w:p w:rsidR="00EC243C" w:rsidRPr="00EC243C" w:rsidRDefault="00EC243C">
            <w:pPr>
              <w:rPr>
                <w:lang w:val="nl-NL"/>
              </w:rPr>
            </w:pPr>
          </w:p>
        </w:tc>
        <w:tc>
          <w:tcPr>
            <w:tcW w:w="4508" w:type="dxa"/>
          </w:tcPr>
          <w:p w:rsidR="00EC243C" w:rsidRDefault="00EC243C">
            <w:pPr>
              <w:rPr>
                <w:lang w:val="nl-NL"/>
              </w:rPr>
            </w:pPr>
          </w:p>
          <w:p w:rsidR="000370B0" w:rsidRDefault="000370B0">
            <w:pPr>
              <w:rPr>
                <w:lang w:val="nl-NL"/>
              </w:rPr>
            </w:pPr>
            <w:r>
              <w:rPr>
                <w:lang w:val="nl-NL"/>
              </w:rPr>
              <w:t>Die veronderstelling van die artikel is dat dit slegs handel oor die diakonos in die algemeen en nie oor die leier-diakonos nie.  Dit word duidelik gestel dat verdere studie rondom die leier-diakonos nodig is om toepassings op die diaken se werk te kan maak.</w:t>
            </w:r>
          </w:p>
          <w:p w:rsidR="000370B0" w:rsidRDefault="000370B0">
            <w:pPr>
              <w:rPr>
                <w:lang w:val="nl-NL"/>
              </w:rPr>
            </w:pPr>
            <w:r>
              <w:rPr>
                <w:lang w:val="nl-NL"/>
              </w:rPr>
              <w:t>Die artikel poog nie om nou reeds die brug te slaan na die werk van die diaken nie en dit word tog duidelik gesê in die artikel soos die keurder self in sy laaste sin erken.</w:t>
            </w:r>
            <w:bookmarkStart w:id="4" w:name="_GoBack"/>
            <w:bookmarkEnd w:id="4"/>
          </w:p>
          <w:p w:rsidR="000370B0" w:rsidRPr="00EC243C" w:rsidRDefault="000370B0">
            <w:pPr>
              <w:rPr>
                <w:lang w:val="nl-NL"/>
              </w:rPr>
            </w:pPr>
          </w:p>
        </w:tc>
      </w:tr>
    </w:tbl>
    <w:p w:rsidR="00EC243C" w:rsidRPr="00EC243C" w:rsidRDefault="00EC243C">
      <w:pPr>
        <w:rPr>
          <w:lang w:val="nl-NL"/>
        </w:rPr>
      </w:pPr>
    </w:p>
    <w:sectPr w:rsidR="00EC243C" w:rsidRPr="00EC2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3C"/>
    <w:rsid w:val="000370B0"/>
    <w:rsid w:val="00046EAB"/>
    <w:rsid w:val="0033605D"/>
    <w:rsid w:val="005C6021"/>
    <w:rsid w:val="00BF0B31"/>
    <w:rsid w:val="00EC24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304C"/>
  <w15:chartTrackingRefBased/>
  <w15:docId w15:val="{DC57E7B5-AFBF-4A99-B23F-79BAF9B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EC243C"/>
    <w:pPr>
      <w:spacing w:after="120" w:line="240" w:lineRule="auto"/>
      <w:jc w:val="both"/>
    </w:pPr>
    <w:rPr>
      <w:rFonts w:ascii="Times New Roman" w:eastAsia="MS Mincho" w:hAnsi="Times New Roman" w:cs="Arial"/>
      <w:color w:val="000000" w:themeColor="text1"/>
      <w:sz w:val="20"/>
      <w:szCs w:val="20"/>
      <w:lang w:val="en-GB" w:eastAsia="ja-JP"/>
    </w:rPr>
  </w:style>
  <w:style w:type="character" w:customStyle="1" w:styleId="CommentTextChar">
    <w:name w:val="Comment Text Char"/>
    <w:basedOn w:val="DefaultParagraphFont"/>
    <w:link w:val="CommentText"/>
    <w:uiPriority w:val="99"/>
    <w:rsid w:val="00EC243C"/>
    <w:rPr>
      <w:rFonts w:ascii="Times New Roman" w:eastAsia="MS Mincho" w:hAnsi="Times New Roman" w:cs="Arial"/>
      <w:color w:val="000000" w:themeColor="text1"/>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North-West University</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Gert Breed</cp:lastModifiedBy>
  <cp:revision>3</cp:revision>
  <dcterms:created xsi:type="dcterms:W3CDTF">2019-06-19T01:37:00Z</dcterms:created>
  <dcterms:modified xsi:type="dcterms:W3CDTF">2019-06-20T06:28:00Z</dcterms:modified>
</cp:coreProperties>
</file>