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3008B" w14:textId="5B62EF06" w:rsidR="00A04E6E" w:rsidRPr="00A04E6E" w:rsidRDefault="00A04E6E" w:rsidP="00344872">
      <w:pPr>
        <w:jc w:val="center"/>
        <w:rPr>
          <w:rFonts w:cstheme="minorHAnsi"/>
          <w:sz w:val="24"/>
          <w:szCs w:val="24"/>
          <w:u w:val="single"/>
        </w:rPr>
      </w:pPr>
      <w:r w:rsidRPr="00A04E6E">
        <w:rPr>
          <w:rFonts w:cstheme="minorHAnsi"/>
          <w:sz w:val="24"/>
          <w:szCs w:val="24"/>
          <w:u w:val="single"/>
        </w:rPr>
        <w:t>RESPONSE TO REVIEWERS’ COMMENTS</w:t>
      </w:r>
    </w:p>
    <w:p w14:paraId="0CE5E694" w14:textId="5C648838" w:rsidR="00C07E07" w:rsidRPr="00A04E6E" w:rsidRDefault="00A04E6E" w:rsidP="00A04E6E">
      <w:pPr>
        <w:spacing w:after="0" w:line="240" w:lineRule="auto"/>
        <w:jc w:val="both"/>
        <w:rPr>
          <w:rFonts w:cstheme="minorHAnsi"/>
          <w:sz w:val="24"/>
          <w:szCs w:val="24"/>
        </w:rPr>
      </w:pPr>
      <w:r>
        <w:rPr>
          <w:rFonts w:cstheme="minorHAnsi"/>
          <w:b/>
          <w:sz w:val="24"/>
          <w:szCs w:val="24"/>
        </w:rPr>
        <w:t>Article</w:t>
      </w:r>
      <w:r w:rsidR="00544DE1" w:rsidRPr="00344872">
        <w:rPr>
          <w:rFonts w:cstheme="minorHAnsi"/>
          <w:b/>
          <w:sz w:val="24"/>
          <w:szCs w:val="24"/>
        </w:rPr>
        <w:t>:</w:t>
      </w:r>
      <w:r w:rsidR="00544DE1" w:rsidRPr="00344872">
        <w:rPr>
          <w:rFonts w:cstheme="minorHAnsi"/>
          <w:sz w:val="24"/>
          <w:szCs w:val="24"/>
        </w:rPr>
        <w:t xml:space="preserve"> </w:t>
      </w:r>
      <w:r w:rsidRPr="00A04E6E">
        <w:rPr>
          <w:rFonts w:cstheme="minorHAnsi"/>
          <w:i/>
          <w:sz w:val="24"/>
          <w:szCs w:val="24"/>
        </w:rPr>
        <w:t>“RELIGIOUS INTERSECTIONS IN AFRICAN CHRISTIANITY: THE CONVERSION DILEMMA AMONG INDIGENOUS CONVERTS”</w:t>
      </w:r>
    </w:p>
    <w:p w14:paraId="0FD54875" w14:textId="650DFCB7" w:rsidR="00A04E6E" w:rsidRPr="00344872" w:rsidRDefault="00A04E6E" w:rsidP="002C6BE4">
      <w:pPr>
        <w:spacing w:after="0"/>
        <w:rPr>
          <w:rFonts w:eastAsia="Times New Roman" w:cstheme="minorHAnsi"/>
          <w:sz w:val="24"/>
          <w:szCs w:val="24"/>
        </w:rPr>
      </w:pPr>
    </w:p>
    <w:tbl>
      <w:tblPr>
        <w:tblStyle w:val="TableGrid"/>
        <w:tblW w:w="0" w:type="auto"/>
        <w:tblLook w:val="04A0" w:firstRow="1" w:lastRow="0" w:firstColumn="1" w:lastColumn="0" w:noHBand="0" w:noVBand="1"/>
      </w:tblPr>
      <w:tblGrid>
        <w:gridCol w:w="1366"/>
        <w:gridCol w:w="4252"/>
        <w:gridCol w:w="3398"/>
      </w:tblGrid>
      <w:tr w:rsidR="001C2F63" w14:paraId="420A5428" w14:textId="77777777" w:rsidTr="008A7776">
        <w:tc>
          <w:tcPr>
            <w:tcW w:w="1384" w:type="dxa"/>
          </w:tcPr>
          <w:p w14:paraId="673154C0" w14:textId="4F36ABCB" w:rsidR="00C07E07" w:rsidRDefault="00A04E6E">
            <w:r>
              <w:t>Reviewers</w:t>
            </w:r>
          </w:p>
        </w:tc>
        <w:tc>
          <w:tcPr>
            <w:tcW w:w="4394" w:type="dxa"/>
          </w:tcPr>
          <w:p w14:paraId="6A8D2F6D" w14:textId="47D1BE19" w:rsidR="00C07E07" w:rsidRDefault="00C07E07">
            <w:r>
              <w:t>EXAMINER COMMENTS</w:t>
            </w:r>
          </w:p>
        </w:tc>
        <w:tc>
          <w:tcPr>
            <w:tcW w:w="3464" w:type="dxa"/>
          </w:tcPr>
          <w:p w14:paraId="45615518" w14:textId="5B2CC84C" w:rsidR="00C07E07" w:rsidRDefault="00C07E07">
            <w:r>
              <w:t>CORRECTION MADE BY THE CANDIDATE</w:t>
            </w:r>
          </w:p>
        </w:tc>
      </w:tr>
      <w:tr w:rsidR="001C2F63" w14:paraId="08C7CA66" w14:textId="77777777" w:rsidTr="008A7776">
        <w:tc>
          <w:tcPr>
            <w:tcW w:w="1384" w:type="dxa"/>
          </w:tcPr>
          <w:p w14:paraId="214B6597" w14:textId="5B97C3AB" w:rsidR="00C07E07" w:rsidRDefault="00A04E6E">
            <w:r>
              <w:t>Reviewer C</w:t>
            </w:r>
          </w:p>
        </w:tc>
        <w:tc>
          <w:tcPr>
            <w:tcW w:w="4394" w:type="dxa"/>
          </w:tcPr>
          <w:p w14:paraId="7D8071EF" w14:textId="77777777" w:rsidR="00E666C6" w:rsidRDefault="00F913D8" w:rsidP="00F913D8">
            <w:pPr>
              <w:pStyle w:val="ListParagraph"/>
              <w:numPr>
                <w:ilvl w:val="0"/>
                <w:numId w:val="4"/>
              </w:numPr>
              <w:jc w:val="both"/>
            </w:pPr>
            <w:r w:rsidRPr="00F913D8">
              <w:t xml:space="preserve">This is a </w:t>
            </w:r>
            <w:proofErr w:type="gramStart"/>
            <w:r w:rsidRPr="00F913D8">
              <w:t>well written</w:t>
            </w:r>
            <w:proofErr w:type="gramEnd"/>
            <w:r w:rsidRPr="00F913D8">
              <w:t xml:space="preserve"> and argued article. While the author engages with significant voices relevant to the argument of this article and offers a plausible and well-articulated conclusion, one wonders whether the author’s treatment of what he/she calls a “conservative Christian outlook” (pages 6) does not suggest a monolithic and generalised notion of Christianity.</w:t>
            </w:r>
          </w:p>
          <w:p w14:paraId="3D3A0C9D" w14:textId="77777777" w:rsidR="00E666C6" w:rsidRDefault="00E666C6" w:rsidP="00E666C6">
            <w:pPr>
              <w:jc w:val="both"/>
            </w:pPr>
          </w:p>
          <w:p w14:paraId="47A993C7" w14:textId="77777777" w:rsidR="00E666C6" w:rsidRDefault="00E666C6" w:rsidP="00E666C6">
            <w:pPr>
              <w:jc w:val="both"/>
            </w:pPr>
          </w:p>
          <w:p w14:paraId="19F8AF6D" w14:textId="7800898B" w:rsidR="00F913D8" w:rsidRDefault="00F913D8" w:rsidP="00E666C6">
            <w:pPr>
              <w:jc w:val="both"/>
            </w:pPr>
            <w:r w:rsidRPr="00F913D8">
              <w:t xml:space="preserve"> </w:t>
            </w:r>
          </w:p>
          <w:p w14:paraId="5B91FF80" w14:textId="77777777" w:rsidR="00E666C6" w:rsidRDefault="00E666C6" w:rsidP="00E666C6">
            <w:pPr>
              <w:jc w:val="both"/>
            </w:pPr>
          </w:p>
          <w:p w14:paraId="2B258F63" w14:textId="77777777" w:rsidR="00E666C6" w:rsidRDefault="00E666C6" w:rsidP="00E666C6">
            <w:pPr>
              <w:jc w:val="both"/>
            </w:pPr>
          </w:p>
          <w:p w14:paraId="576B9E79" w14:textId="77777777" w:rsidR="00E666C6" w:rsidRDefault="00E666C6" w:rsidP="00E666C6">
            <w:pPr>
              <w:pStyle w:val="ListParagraph"/>
              <w:jc w:val="both"/>
            </w:pPr>
          </w:p>
          <w:p w14:paraId="55B42C10" w14:textId="77777777" w:rsidR="00E666C6" w:rsidRDefault="00E666C6" w:rsidP="00E666C6">
            <w:pPr>
              <w:pStyle w:val="ListParagraph"/>
              <w:jc w:val="both"/>
            </w:pPr>
          </w:p>
          <w:p w14:paraId="743B9A62" w14:textId="77777777" w:rsidR="00E666C6" w:rsidRDefault="00E666C6" w:rsidP="00E666C6">
            <w:pPr>
              <w:pStyle w:val="ListParagraph"/>
              <w:jc w:val="both"/>
            </w:pPr>
          </w:p>
          <w:p w14:paraId="3F9AE67B" w14:textId="77777777" w:rsidR="00E666C6" w:rsidRDefault="00E666C6" w:rsidP="00E666C6">
            <w:pPr>
              <w:pStyle w:val="ListParagraph"/>
              <w:jc w:val="both"/>
            </w:pPr>
          </w:p>
          <w:p w14:paraId="4845B5B1" w14:textId="77777777" w:rsidR="00E666C6" w:rsidRDefault="00E666C6" w:rsidP="00E666C6">
            <w:pPr>
              <w:pStyle w:val="ListParagraph"/>
              <w:jc w:val="both"/>
            </w:pPr>
          </w:p>
          <w:p w14:paraId="426A5724" w14:textId="77777777" w:rsidR="00E666C6" w:rsidRDefault="00E666C6" w:rsidP="00E666C6">
            <w:pPr>
              <w:pStyle w:val="ListParagraph"/>
              <w:jc w:val="both"/>
            </w:pPr>
          </w:p>
          <w:p w14:paraId="2C0E49DB" w14:textId="77777777" w:rsidR="00E666C6" w:rsidRDefault="00E666C6" w:rsidP="00E666C6">
            <w:pPr>
              <w:pStyle w:val="ListParagraph"/>
              <w:jc w:val="both"/>
            </w:pPr>
          </w:p>
          <w:p w14:paraId="032A017D" w14:textId="77777777" w:rsidR="00E666C6" w:rsidRDefault="00E666C6" w:rsidP="00E666C6">
            <w:pPr>
              <w:pStyle w:val="ListParagraph"/>
              <w:jc w:val="both"/>
            </w:pPr>
          </w:p>
          <w:p w14:paraId="6E1ADE6C" w14:textId="77777777" w:rsidR="00E666C6" w:rsidRDefault="00E666C6" w:rsidP="00E666C6">
            <w:pPr>
              <w:pStyle w:val="ListParagraph"/>
              <w:jc w:val="both"/>
            </w:pPr>
          </w:p>
          <w:p w14:paraId="7967585B" w14:textId="6A66A2BA" w:rsidR="00E666C6" w:rsidRDefault="00E666C6" w:rsidP="00E666C6">
            <w:pPr>
              <w:pStyle w:val="ListParagraph"/>
              <w:jc w:val="both"/>
            </w:pPr>
          </w:p>
          <w:p w14:paraId="7D83FBB7" w14:textId="6C8AA684" w:rsidR="00E666C6" w:rsidRDefault="00E666C6" w:rsidP="00E666C6">
            <w:pPr>
              <w:jc w:val="both"/>
            </w:pPr>
          </w:p>
          <w:p w14:paraId="76E45188" w14:textId="77777777" w:rsidR="00C255B6" w:rsidRDefault="00F913D8" w:rsidP="00F913D8">
            <w:pPr>
              <w:pStyle w:val="ListParagraph"/>
              <w:numPr>
                <w:ilvl w:val="0"/>
                <w:numId w:val="4"/>
              </w:numPr>
              <w:jc w:val="both"/>
            </w:pPr>
            <w:r w:rsidRPr="00F913D8">
              <w:t xml:space="preserve">The author could strengthen this aspect of the paper and briefly elaborate on what his/her proposed notion of hybridity entails if indeed it is distinct from notion of </w:t>
            </w:r>
            <w:proofErr w:type="gramStart"/>
            <w:r w:rsidRPr="00F913D8">
              <w:t>syncretism</w:t>
            </w:r>
            <w:proofErr w:type="gramEnd"/>
            <w:r w:rsidRPr="00F913D8">
              <w:t xml:space="preserve"> as the author appears to suggest, etc. </w:t>
            </w:r>
          </w:p>
          <w:p w14:paraId="655ACEB5" w14:textId="77777777" w:rsidR="00C255B6" w:rsidRDefault="00C255B6" w:rsidP="00C255B6">
            <w:pPr>
              <w:pStyle w:val="ListParagraph"/>
              <w:jc w:val="both"/>
            </w:pPr>
          </w:p>
          <w:p w14:paraId="6C796108" w14:textId="77777777" w:rsidR="00C255B6" w:rsidRDefault="00C255B6" w:rsidP="00C255B6">
            <w:pPr>
              <w:pStyle w:val="ListParagraph"/>
              <w:jc w:val="both"/>
            </w:pPr>
          </w:p>
          <w:p w14:paraId="471679BD" w14:textId="77777777" w:rsidR="00C255B6" w:rsidRDefault="00C255B6" w:rsidP="00C255B6">
            <w:pPr>
              <w:pStyle w:val="ListParagraph"/>
              <w:jc w:val="both"/>
            </w:pPr>
          </w:p>
          <w:p w14:paraId="06666231" w14:textId="77777777" w:rsidR="00C255B6" w:rsidRDefault="00C255B6" w:rsidP="00C255B6">
            <w:pPr>
              <w:pStyle w:val="ListParagraph"/>
              <w:jc w:val="both"/>
            </w:pPr>
          </w:p>
          <w:p w14:paraId="5760E7FA" w14:textId="77777777" w:rsidR="00C255B6" w:rsidRDefault="00C255B6" w:rsidP="00C255B6">
            <w:pPr>
              <w:pStyle w:val="ListParagraph"/>
              <w:jc w:val="both"/>
            </w:pPr>
          </w:p>
          <w:p w14:paraId="0B4F36FA" w14:textId="77777777" w:rsidR="00C255B6" w:rsidRDefault="00C255B6" w:rsidP="00C255B6">
            <w:pPr>
              <w:pStyle w:val="ListParagraph"/>
              <w:jc w:val="both"/>
            </w:pPr>
          </w:p>
          <w:p w14:paraId="6F5BA288" w14:textId="77777777" w:rsidR="00C255B6" w:rsidRDefault="00C255B6" w:rsidP="00C255B6">
            <w:pPr>
              <w:pStyle w:val="ListParagraph"/>
              <w:jc w:val="both"/>
            </w:pPr>
          </w:p>
          <w:p w14:paraId="6F203DFB" w14:textId="77777777" w:rsidR="00C255B6" w:rsidRDefault="00C255B6" w:rsidP="00C255B6">
            <w:pPr>
              <w:pStyle w:val="ListParagraph"/>
              <w:jc w:val="both"/>
            </w:pPr>
          </w:p>
          <w:p w14:paraId="7CF46677" w14:textId="77777777" w:rsidR="00C255B6" w:rsidRDefault="00C255B6" w:rsidP="00C255B6">
            <w:pPr>
              <w:pStyle w:val="ListParagraph"/>
              <w:jc w:val="both"/>
            </w:pPr>
          </w:p>
          <w:p w14:paraId="603AB187" w14:textId="77777777" w:rsidR="00C255B6" w:rsidRDefault="00C255B6" w:rsidP="00C255B6">
            <w:pPr>
              <w:pStyle w:val="ListParagraph"/>
              <w:jc w:val="both"/>
            </w:pPr>
          </w:p>
          <w:p w14:paraId="63C27DF4" w14:textId="77777777" w:rsidR="00C255B6" w:rsidRDefault="00C255B6" w:rsidP="00C255B6">
            <w:pPr>
              <w:pStyle w:val="ListParagraph"/>
              <w:jc w:val="both"/>
            </w:pPr>
          </w:p>
          <w:p w14:paraId="75780D05" w14:textId="77777777" w:rsidR="00C255B6" w:rsidRDefault="00C255B6" w:rsidP="00C255B6">
            <w:pPr>
              <w:pStyle w:val="ListParagraph"/>
              <w:jc w:val="both"/>
            </w:pPr>
          </w:p>
          <w:p w14:paraId="3245A472" w14:textId="77777777" w:rsidR="00C255B6" w:rsidRDefault="00C255B6" w:rsidP="00C255B6">
            <w:pPr>
              <w:pStyle w:val="ListParagraph"/>
              <w:jc w:val="both"/>
            </w:pPr>
          </w:p>
          <w:p w14:paraId="29B13048" w14:textId="77777777" w:rsidR="00C255B6" w:rsidRDefault="00C255B6" w:rsidP="00C255B6">
            <w:pPr>
              <w:pStyle w:val="ListParagraph"/>
              <w:jc w:val="both"/>
            </w:pPr>
          </w:p>
          <w:p w14:paraId="4946CF55" w14:textId="3D19CB5B" w:rsidR="00C255B6" w:rsidRDefault="00C255B6" w:rsidP="00C255B6">
            <w:pPr>
              <w:pStyle w:val="ListParagraph"/>
              <w:jc w:val="both"/>
            </w:pPr>
          </w:p>
          <w:p w14:paraId="7B3A3632" w14:textId="1D35341A" w:rsidR="00C255B6" w:rsidRDefault="00C255B6" w:rsidP="00C85667">
            <w:pPr>
              <w:jc w:val="both"/>
            </w:pPr>
            <w:bookmarkStart w:id="0" w:name="_GoBack"/>
            <w:bookmarkEnd w:id="0"/>
          </w:p>
          <w:p w14:paraId="320539A6" w14:textId="77777777" w:rsidR="00C255B6" w:rsidRDefault="00F913D8" w:rsidP="00F913D8">
            <w:pPr>
              <w:pStyle w:val="ListParagraph"/>
              <w:numPr>
                <w:ilvl w:val="0"/>
                <w:numId w:val="4"/>
              </w:numPr>
              <w:jc w:val="both"/>
            </w:pPr>
            <w:r w:rsidRPr="00F913D8">
              <w:t xml:space="preserve">In this vein, the author’s original contribution to debates on conversion begs further elaboration. </w:t>
            </w:r>
          </w:p>
          <w:p w14:paraId="6F162357" w14:textId="6B9126E2" w:rsidR="00C255B6" w:rsidRDefault="00C255B6" w:rsidP="00C255B6">
            <w:pPr>
              <w:pStyle w:val="ListParagraph"/>
              <w:jc w:val="both"/>
            </w:pPr>
          </w:p>
          <w:p w14:paraId="3A7CB2E9" w14:textId="279F4483" w:rsidR="00C255B6" w:rsidRDefault="00C255B6" w:rsidP="00C85667">
            <w:pPr>
              <w:jc w:val="both"/>
            </w:pPr>
          </w:p>
          <w:p w14:paraId="64850A46" w14:textId="6A0AE4F8" w:rsidR="002B20C1" w:rsidRPr="00C255B6" w:rsidRDefault="00F913D8" w:rsidP="00C255B6">
            <w:pPr>
              <w:pStyle w:val="ListParagraph"/>
              <w:numPr>
                <w:ilvl w:val="0"/>
                <w:numId w:val="4"/>
              </w:numPr>
              <w:jc w:val="both"/>
            </w:pPr>
            <w:r w:rsidRPr="00F913D8">
              <w:t xml:space="preserve">This notwithstanding, I would like to congratulate the author and recommend the publication of this contribution. </w:t>
            </w:r>
            <w:r w:rsidR="002B20C1">
              <w:t xml:space="preserve"> </w:t>
            </w:r>
          </w:p>
        </w:tc>
        <w:tc>
          <w:tcPr>
            <w:tcW w:w="3464" w:type="dxa"/>
          </w:tcPr>
          <w:p w14:paraId="605A1576" w14:textId="4C37C983" w:rsidR="002843FB" w:rsidRDefault="00F913D8" w:rsidP="00F913D8">
            <w:pPr>
              <w:pStyle w:val="ListParagraph"/>
              <w:numPr>
                <w:ilvl w:val="0"/>
                <w:numId w:val="1"/>
              </w:numPr>
              <w:jc w:val="both"/>
            </w:pPr>
            <w:r>
              <w:lastRenderedPageBreak/>
              <w:t>The author attended to the reviewer’s comment by describing and explaining the usage of the phrase “conservative Christian outlook”</w:t>
            </w:r>
            <w:r w:rsidR="00E666C6">
              <w:t xml:space="preserve"> within the scope of the paper</w:t>
            </w:r>
            <w:r>
              <w:t>. The author noted that t</w:t>
            </w:r>
            <w:r w:rsidRPr="00F913D8">
              <w:t>he phrase “conservative Christi</w:t>
            </w:r>
            <w:r>
              <w:t xml:space="preserve">an outlook” </w:t>
            </w:r>
            <w:proofErr w:type="gramStart"/>
            <w:r>
              <w:t>is used</w:t>
            </w:r>
            <w:proofErr w:type="gramEnd"/>
            <w:r>
              <w:t xml:space="preserve"> in the present</w:t>
            </w:r>
            <w:r w:rsidRPr="00F913D8">
              <w:t xml:space="preserve"> paper to refer to Christians who tend to follow conservative values, which stand in contrast to liberal Christian viewpoints. The label “conservative</w:t>
            </w:r>
            <w:r w:rsidR="00E666C6">
              <w:t>”</w:t>
            </w:r>
            <w:r w:rsidRPr="00F913D8">
              <w:t>, however does not necessarily imply the acceptance of all basic conservative values. Rather, it designates those Christian groups that are more traditional than other members of the same faith family are.</w:t>
            </w:r>
          </w:p>
          <w:p w14:paraId="5442AD0A" w14:textId="1CF54A27" w:rsidR="002843FB" w:rsidRDefault="002843FB" w:rsidP="002843FB">
            <w:pPr>
              <w:pStyle w:val="ListParagraph"/>
            </w:pPr>
          </w:p>
          <w:p w14:paraId="1EB4535E" w14:textId="7E924D41" w:rsidR="00C91A11" w:rsidRDefault="00C91A11" w:rsidP="00C91A11"/>
          <w:p w14:paraId="126CF14F" w14:textId="6427CB0F" w:rsidR="00C91A11" w:rsidRDefault="00E666C6" w:rsidP="00C91A11">
            <w:pPr>
              <w:pStyle w:val="ListParagraph"/>
              <w:numPr>
                <w:ilvl w:val="0"/>
                <w:numId w:val="1"/>
              </w:numPr>
              <w:jc w:val="both"/>
            </w:pPr>
            <w:r>
              <w:t>The author elaborated on his understanding of hybridity as the emergence of</w:t>
            </w:r>
            <w:r w:rsidR="00C255B6">
              <w:t xml:space="preserve"> a</w:t>
            </w:r>
            <w:r>
              <w:t xml:space="preserve"> ‘third</w:t>
            </w:r>
            <w:r w:rsidR="00C255B6">
              <w:t xml:space="preserve"> space’. This is in line with</w:t>
            </w:r>
            <w:r>
              <w:t xml:space="preserve"> </w:t>
            </w:r>
            <w:proofErr w:type="spellStart"/>
            <w:r>
              <w:t>Homi</w:t>
            </w:r>
            <w:proofErr w:type="spellEnd"/>
            <w:r>
              <w:t xml:space="preserve"> </w:t>
            </w:r>
            <w:proofErr w:type="spellStart"/>
            <w:r>
              <w:t>Bh</w:t>
            </w:r>
            <w:r w:rsidR="00C255B6">
              <w:t>abha’s</w:t>
            </w:r>
            <w:proofErr w:type="spellEnd"/>
            <w:r w:rsidR="00C255B6">
              <w:t xml:space="preserve"> (1994: 211) assertion that “</w:t>
            </w:r>
            <w:r>
              <w:t xml:space="preserve">[T]he importance of hybridity is not to be able to trace two original moments from which the third emerges, rather hybridity [...] is the 'third space' which enables other positions to emerge. This third space displaces the histories that constitute it, and sets up new structures </w:t>
            </w:r>
            <w:r>
              <w:lastRenderedPageBreak/>
              <w:t>of authority, new political initiatives, which are inadequately understood through received wisdom</w:t>
            </w:r>
            <w:r w:rsidR="00C255B6">
              <w:t>”</w:t>
            </w:r>
            <w:r>
              <w:t>.</w:t>
            </w:r>
          </w:p>
          <w:p w14:paraId="16E60F30" w14:textId="28B77148" w:rsidR="00C91A11" w:rsidRPr="00C91A11" w:rsidRDefault="00C91A11" w:rsidP="00C91A11">
            <w:pPr>
              <w:jc w:val="both"/>
            </w:pPr>
          </w:p>
          <w:p w14:paraId="7EBF6F74" w14:textId="411EC28A" w:rsidR="00D7424D" w:rsidRDefault="004F605C" w:rsidP="004F605C">
            <w:pPr>
              <w:pStyle w:val="ListParagraph"/>
              <w:numPr>
                <w:ilvl w:val="0"/>
                <w:numId w:val="1"/>
              </w:numPr>
              <w:jc w:val="both"/>
            </w:pPr>
            <w:r w:rsidRPr="004F605C">
              <w:t xml:space="preserve">The </w:t>
            </w:r>
            <w:r w:rsidR="00C255B6">
              <w:t xml:space="preserve">author thinks that the remark has been dealt with adequately as this is the </w:t>
            </w:r>
            <w:proofErr w:type="gramStart"/>
            <w:r w:rsidR="00C255B6">
              <w:t>main focus</w:t>
            </w:r>
            <w:proofErr w:type="gramEnd"/>
            <w:r w:rsidR="00C255B6">
              <w:t xml:space="preserve"> of the study.</w:t>
            </w:r>
          </w:p>
          <w:p w14:paraId="23411383" w14:textId="77777777" w:rsidR="00D7424D" w:rsidRPr="004F605C" w:rsidRDefault="00D7424D" w:rsidP="004F605C">
            <w:pPr>
              <w:jc w:val="both"/>
            </w:pPr>
          </w:p>
          <w:p w14:paraId="614E4572" w14:textId="0B6965CD" w:rsidR="008A7776" w:rsidRDefault="00C255B6" w:rsidP="001C2F63">
            <w:pPr>
              <w:pStyle w:val="ListParagraph"/>
              <w:numPr>
                <w:ilvl w:val="0"/>
                <w:numId w:val="1"/>
              </w:numPr>
              <w:jc w:val="both"/>
            </w:pPr>
            <w:r>
              <w:t xml:space="preserve">No response needed. </w:t>
            </w:r>
            <w:proofErr w:type="gramStart"/>
            <w:r>
              <w:t>But</w:t>
            </w:r>
            <w:proofErr w:type="gramEnd"/>
            <w:r>
              <w:t xml:space="preserve"> the author highly appreciates the positive remarks.</w:t>
            </w:r>
          </w:p>
          <w:p w14:paraId="5EE81704" w14:textId="4C050862" w:rsidR="002B20C1" w:rsidRDefault="002B20C1" w:rsidP="00C255B6">
            <w:pPr>
              <w:jc w:val="both"/>
            </w:pPr>
          </w:p>
        </w:tc>
      </w:tr>
      <w:tr w:rsidR="001C2F63" w14:paraId="4DAB079C" w14:textId="77777777" w:rsidTr="008A7776">
        <w:tc>
          <w:tcPr>
            <w:tcW w:w="1384" w:type="dxa"/>
          </w:tcPr>
          <w:p w14:paraId="73AC6BA4" w14:textId="23239334" w:rsidR="00C07E07" w:rsidRDefault="00C85667">
            <w:r>
              <w:t>Reviewer D</w:t>
            </w:r>
          </w:p>
        </w:tc>
        <w:tc>
          <w:tcPr>
            <w:tcW w:w="4394" w:type="dxa"/>
          </w:tcPr>
          <w:p w14:paraId="38AA6272" w14:textId="77185309" w:rsidR="0058630D" w:rsidRDefault="00C85667" w:rsidP="00C85667">
            <w:pPr>
              <w:pStyle w:val="ListParagraph"/>
              <w:numPr>
                <w:ilvl w:val="0"/>
                <w:numId w:val="6"/>
              </w:numPr>
            </w:pPr>
            <w:r w:rsidRPr="00C85667">
              <w:t>The article is good and worthy for publication. There are very required changes.</w:t>
            </w:r>
          </w:p>
        </w:tc>
        <w:tc>
          <w:tcPr>
            <w:tcW w:w="3464" w:type="dxa"/>
          </w:tcPr>
          <w:p w14:paraId="7B8F9098" w14:textId="4CA74F42" w:rsidR="0058630D" w:rsidRDefault="00DE0B95" w:rsidP="0058630D">
            <w:pPr>
              <w:pStyle w:val="ListParagraph"/>
              <w:numPr>
                <w:ilvl w:val="0"/>
                <w:numId w:val="2"/>
              </w:numPr>
            </w:pPr>
            <w:r>
              <w:t>No recommendations to</w:t>
            </w:r>
            <w:r w:rsidR="00C85667">
              <w:t xml:space="preserve"> </w:t>
            </w:r>
            <w:proofErr w:type="gramStart"/>
            <w:r w:rsidR="00C85667">
              <w:t>be</w:t>
            </w:r>
            <w:r>
              <w:t xml:space="preserve"> attend</w:t>
            </w:r>
            <w:r w:rsidR="00C85667">
              <w:t>ed</w:t>
            </w:r>
            <w:proofErr w:type="gramEnd"/>
            <w:r>
              <w:t xml:space="preserve"> to.</w:t>
            </w:r>
          </w:p>
        </w:tc>
      </w:tr>
    </w:tbl>
    <w:p w14:paraId="1A40A625" w14:textId="77777777" w:rsidR="00C07E07" w:rsidRDefault="00C07E07"/>
    <w:sectPr w:rsidR="00C07E0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1263F" w14:textId="77777777" w:rsidR="00545E59" w:rsidRDefault="00545E59" w:rsidP="00FA3585">
      <w:pPr>
        <w:spacing w:after="0" w:line="240" w:lineRule="auto"/>
      </w:pPr>
      <w:r>
        <w:separator/>
      </w:r>
    </w:p>
  </w:endnote>
  <w:endnote w:type="continuationSeparator" w:id="0">
    <w:p w14:paraId="7923CDE6" w14:textId="77777777" w:rsidR="00545E59" w:rsidRDefault="00545E59" w:rsidP="00FA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593681"/>
      <w:docPartObj>
        <w:docPartGallery w:val="Page Numbers (Bottom of Page)"/>
        <w:docPartUnique/>
      </w:docPartObj>
    </w:sdtPr>
    <w:sdtEndPr>
      <w:rPr>
        <w:noProof/>
      </w:rPr>
    </w:sdtEndPr>
    <w:sdtContent>
      <w:p w14:paraId="656F20B2" w14:textId="39492C19" w:rsidR="00FA3585" w:rsidRDefault="00FA3585">
        <w:pPr>
          <w:pStyle w:val="Footer"/>
          <w:jc w:val="center"/>
        </w:pPr>
        <w:r>
          <w:fldChar w:fldCharType="begin"/>
        </w:r>
        <w:r>
          <w:instrText xml:space="preserve"> PAGE   \* MERGEFORMAT </w:instrText>
        </w:r>
        <w:r>
          <w:fldChar w:fldCharType="separate"/>
        </w:r>
        <w:r w:rsidR="00C85667">
          <w:rPr>
            <w:noProof/>
          </w:rPr>
          <w:t>2</w:t>
        </w:r>
        <w:r>
          <w:rPr>
            <w:noProof/>
          </w:rPr>
          <w:fldChar w:fldCharType="end"/>
        </w:r>
      </w:p>
    </w:sdtContent>
  </w:sdt>
  <w:p w14:paraId="2D6BBEDA" w14:textId="77777777" w:rsidR="00FA3585" w:rsidRDefault="00FA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5A040" w14:textId="77777777" w:rsidR="00545E59" w:rsidRDefault="00545E59" w:rsidP="00FA3585">
      <w:pPr>
        <w:spacing w:after="0" w:line="240" w:lineRule="auto"/>
      </w:pPr>
      <w:r>
        <w:separator/>
      </w:r>
    </w:p>
  </w:footnote>
  <w:footnote w:type="continuationSeparator" w:id="0">
    <w:p w14:paraId="4C65DE67" w14:textId="77777777" w:rsidR="00545E59" w:rsidRDefault="00545E59" w:rsidP="00FA3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FB5"/>
    <w:multiLevelType w:val="hybridMultilevel"/>
    <w:tmpl w:val="9B3CED6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5C152D"/>
    <w:multiLevelType w:val="hybridMultilevel"/>
    <w:tmpl w:val="0E0E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35D29"/>
    <w:multiLevelType w:val="hybridMultilevel"/>
    <w:tmpl w:val="F146A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94270"/>
    <w:multiLevelType w:val="hybridMultilevel"/>
    <w:tmpl w:val="ED2E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21257"/>
    <w:multiLevelType w:val="hybridMultilevel"/>
    <w:tmpl w:val="F5A421A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8C61F9E"/>
    <w:multiLevelType w:val="hybridMultilevel"/>
    <w:tmpl w:val="DB0CE726"/>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07"/>
    <w:rsid w:val="00072356"/>
    <w:rsid w:val="000D0B83"/>
    <w:rsid w:val="00102B0A"/>
    <w:rsid w:val="001C0A35"/>
    <w:rsid w:val="001C2F63"/>
    <w:rsid w:val="002843FB"/>
    <w:rsid w:val="002B20C1"/>
    <w:rsid w:val="002C6BE4"/>
    <w:rsid w:val="00344872"/>
    <w:rsid w:val="00377E20"/>
    <w:rsid w:val="003B5340"/>
    <w:rsid w:val="004C5051"/>
    <w:rsid w:val="004E18AA"/>
    <w:rsid w:val="004F605C"/>
    <w:rsid w:val="00535672"/>
    <w:rsid w:val="00544DE1"/>
    <w:rsid w:val="00545E59"/>
    <w:rsid w:val="00563B8E"/>
    <w:rsid w:val="0058630D"/>
    <w:rsid w:val="0067213A"/>
    <w:rsid w:val="00865167"/>
    <w:rsid w:val="008A7776"/>
    <w:rsid w:val="00936EC3"/>
    <w:rsid w:val="00A04E6E"/>
    <w:rsid w:val="00A155CA"/>
    <w:rsid w:val="00A91D53"/>
    <w:rsid w:val="00C07E07"/>
    <w:rsid w:val="00C255B6"/>
    <w:rsid w:val="00C85667"/>
    <w:rsid w:val="00C91A11"/>
    <w:rsid w:val="00CD3AA4"/>
    <w:rsid w:val="00D72341"/>
    <w:rsid w:val="00D7424D"/>
    <w:rsid w:val="00D91C00"/>
    <w:rsid w:val="00DB2455"/>
    <w:rsid w:val="00DE0B95"/>
    <w:rsid w:val="00E666C6"/>
    <w:rsid w:val="00F913D8"/>
    <w:rsid w:val="00FA3585"/>
    <w:rsid w:val="00FB1B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CA0C"/>
  <w15:chartTrackingRefBased/>
  <w15:docId w15:val="{3D45465C-221D-4C94-AD7B-07520E17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776"/>
    <w:pPr>
      <w:ind w:left="720"/>
      <w:contextualSpacing/>
    </w:pPr>
  </w:style>
  <w:style w:type="character" w:styleId="LineNumber">
    <w:name w:val="line number"/>
    <w:basedOn w:val="DefaultParagraphFont"/>
    <w:uiPriority w:val="99"/>
    <w:semiHidden/>
    <w:unhideWhenUsed/>
    <w:rsid w:val="00FA3585"/>
  </w:style>
  <w:style w:type="paragraph" w:styleId="Header">
    <w:name w:val="header"/>
    <w:basedOn w:val="Normal"/>
    <w:link w:val="HeaderChar"/>
    <w:uiPriority w:val="99"/>
    <w:unhideWhenUsed/>
    <w:rsid w:val="00FA3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585"/>
  </w:style>
  <w:style w:type="paragraph" w:styleId="Footer">
    <w:name w:val="footer"/>
    <w:basedOn w:val="Normal"/>
    <w:link w:val="FooterChar"/>
    <w:uiPriority w:val="99"/>
    <w:unhideWhenUsed/>
    <w:rsid w:val="00FA3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Thembelani Jentile</dc:creator>
  <cp:keywords/>
  <dc:description/>
  <cp:lastModifiedBy>Joel Mokhoathi</cp:lastModifiedBy>
  <cp:revision>3</cp:revision>
  <dcterms:created xsi:type="dcterms:W3CDTF">2020-01-08T07:47:00Z</dcterms:created>
  <dcterms:modified xsi:type="dcterms:W3CDTF">2020-01-08T08:24:00Z</dcterms:modified>
</cp:coreProperties>
</file>